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94" w:rsidRDefault="008263DF" w:rsidP="00CE21FD">
      <w:pPr>
        <w:pStyle w:val="NormalWeb"/>
        <w:spacing w:before="0" w:beforeAutospacing="0" w:after="0" w:afterAutospacing="0" w:line="245" w:lineRule="auto"/>
        <w:rPr>
          <w:rFonts w:ascii="Calibri Light" w:hAnsi="Calibri Light"/>
          <w:b/>
          <w:color w:val="000000"/>
          <w:sz w:val="40"/>
          <w:szCs w:val="40"/>
        </w:rPr>
      </w:pPr>
      <w:bookmarkStart w:id="0" w:name="_GoBack"/>
      <w:bookmarkEnd w:id="0"/>
      <w:r w:rsidRPr="00CE21FD">
        <w:rPr>
          <w:rFonts w:ascii="Calibri Light" w:hAnsi="Calibri Light"/>
          <w:b/>
          <w:color w:val="000000"/>
          <w:sz w:val="40"/>
          <w:szCs w:val="40"/>
        </w:rPr>
        <w:t xml:space="preserve">Direct Care/Support Workforce Summit </w:t>
      </w:r>
      <w:r w:rsidR="00F46C70">
        <w:rPr>
          <w:rFonts w:ascii="Calibri Light" w:hAnsi="Calibri Light"/>
          <w:b/>
          <w:color w:val="000000"/>
          <w:sz w:val="40"/>
          <w:szCs w:val="40"/>
        </w:rPr>
        <w:t>–</w:t>
      </w:r>
      <w:r w:rsidRPr="00CE21FD">
        <w:rPr>
          <w:rFonts w:ascii="Calibri Light" w:hAnsi="Calibri Light"/>
          <w:b/>
          <w:color w:val="000000"/>
          <w:sz w:val="40"/>
          <w:szCs w:val="40"/>
        </w:rPr>
        <w:t xml:space="preserve"> Overview</w:t>
      </w:r>
    </w:p>
    <w:p w:rsidR="00F46C70" w:rsidRPr="00F46C70" w:rsidRDefault="00F46C70" w:rsidP="00F46C7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DRAFT </w:t>
      </w:r>
      <w:r w:rsidRPr="00F46C70">
        <w:rPr>
          <w:rFonts w:ascii="Tahoma" w:hAnsi="Tahoma" w:cs="Tahoma"/>
        </w:rPr>
        <w:t>6/24/2016</w:t>
      </w:r>
    </w:p>
    <w:p w:rsidR="009D2994" w:rsidRPr="00CE21FD" w:rsidRDefault="008263DF" w:rsidP="00CE21FD">
      <w:pPr>
        <w:pStyle w:val="Heading1"/>
        <w:spacing w:line="245" w:lineRule="auto"/>
      </w:pPr>
      <w:r w:rsidRPr="00CE21FD">
        <w:t>PURPOSE</w:t>
      </w:r>
    </w:p>
    <w:p w:rsidR="009D2994" w:rsidRDefault="008263DF" w:rsidP="00CE21FD">
      <w:pPr>
        <w:pStyle w:val="NormalWeb"/>
        <w:spacing w:before="0" w:beforeAutospacing="0" w:after="0" w:afterAutospacing="0" w:line="245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The purpose of the Summit is to discuss, debate and explore solutions to grow the direct care/support workforce which provides the paid hands-on daily care for older adults, people with disabilities and those living </w:t>
      </w:r>
      <w:r w:rsidR="00CE21FD">
        <w:rPr>
          <w:rFonts w:ascii="Tahoma" w:hAnsi="Tahoma" w:cs="Tahoma"/>
          <w:color w:val="000000"/>
        </w:rPr>
        <w:t xml:space="preserve">with mental health conditions. </w:t>
      </w:r>
    </w:p>
    <w:p w:rsidR="009D2994" w:rsidRDefault="008263DF" w:rsidP="00CE21FD">
      <w:pPr>
        <w:pStyle w:val="Heading1"/>
        <w:spacing w:line="245" w:lineRule="auto"/>
      </w:pPr>
      <w:r>
        <w:t>VISION</w:t>
      </w:r>
    </w:p>
    <w:p w:rsidR="009D2994" w:rsidRDefault="008263DF" w:rsidP="00CE21FD">
      <w:pPr>
        <w:pStyle w:val="NormalWeb"/>
        <w:spacing w:before="0" w:beforeAutospacing="0" w:after="0" w:afterAutospacing="0" w:line="245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 Summit is the beginn</w:t>
      </w:r>
      <w:r w:rsidR="00187A2F">
        <w:rPr>
          <w:rFonts w:ascii="Tahoma" w:hAnsi="Tahoma" w:cs="Tahoma"/>
          <w:color w:val="000000"/>
        </w:rPr>
        <w:t xml:space="preserve">ing of the conversation about ensuring </w:t>
      </w:r>
      <w:r>
        <w:rPr>
          <w:rFonts w:ascii="Tahoma" w:hAnsi="Tahoma" w:cs="Tahoma"/>
          <w:color w:val="000000"/>
        </w:rPr>
        <w:t>direct care workers are available and valued and people have access to the long-term services and supports they need.  It's about raising-up solutions t</w:t>
      </w:r>
      <w:r w:rsidR="00F46C70">
        <w:rPr>
          <w:rFonts w:ascii="Tahoma" w:hAnsi="Tahoma" w:cs="Tahoma"/>
          <w:color w:val="000000"/>
        </w:rPr>
        <w:t>hat can</w:t>
      </w:r>
      <w:r>
        <w:rPr>
          <w:rFonts w:ascii="Tahoma" w:hAnsi="Tahoma" w:cs="Tahoma"/>
          <w:color w:val="000000"/>
        </w:rPr>
        <w:t xml:space="preserve"> grow the direct care/support workforce.  Solutions related to recruitment, retention, compensation, training, career ladders, technology and quality, compensation, training, credentialing and career ladders need to be explored.</w:t>
      </w:r>
      <w:r w:rsidR="00F46C7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 </w:t>
      </w:r>
      <w:r w:rsidR="00F46C70">
        <w:rPr>
          <w:rFonts w:ascii="Tahoma" w:hAnsi="Tahoma" w:cs="Tahoma"/>
          <w:color w:val="000000"/>
        </w:rPr>
        <w:t xml:space="preserve">Solutions need to include actionable </w:t>
      </w:r>
      <w:r>
        <w:rPr>
          <w:rFonts w:ascii="Tahoma" w:hAnsi="Tahoma" w:cs="Tahoma"/>
          <w:color w:val="000000"/>
        </w:rPr>
        <w:t xml:space="preserve">strategies </w:t>
      </w:r>
      <w:r w:rsidR="00F46C70">
        <w:rPr>
          <w:rFonts w:ascii="Tahoma" w:hAnsi="Tahoma" w:cs="Tahoma"/>
          <w:color w:val="000000"/>
        </w:rPr>
        <w:t xml:space="preserve">that are </w:t>
      </w:r>
      <w:r>
        <w:rPr>
          <w:rFonts w:ascii="Tahoma" w:hAnsi="Tahoma" w:cs="Tahoma"/>
          <w:color w:val="000000"/>
        </w:rPr>
        <w:t xml:space="preserve">creative as well as </w:t>
      </w:r>
      <w:r w:rsidR="00F46C70">
        <w:rPr>
          <w:rFonts w:ascii="Tahoma" w:hAnsi="Tahoma" w:cs="Tahoma"/>
          <w:color w:val="000000"/>
        </w:rPr>
        <w:t>innovative, or</w:t>
      </w:r>
      <w:r>
        <w:rPr>
          <w:rFonts w:ascii="Tahoma" w:hAnsi="Tahoma" w:cs="Tahoma"/>
          <w:color w:val="000000"/>
        </w:rPr>
        <w:t xml:space="preserve"> </w:t>
      </w:r>
      <w:r w:rsidR="00F46C70">
        <w:rPr>
          <w:rFonts w:ascii="Tahoma" w:hAnsi="Tahoma" w:cs="Tahoma"/>
          <w:color w:val="000000"/>
        </w:rPr>
        <w:t>even</w:t>
      </w:r>
      <w:r>
        <w:rPr>
          <w:rFonts w:ascii="Tahoma" w:hAnsi="Tahoma" w:cs="Tahoma"/>
          <w:color w:val="000000"/>
        </w:rPr>
        <w:t xml:space="preserve"> a reinvention of old ideas.  And most importantly, this conversation </w:t>
      </w:r>
      <w:r w:rsidR="00F46C70">
        <w:rPr>
          <w:rFonts w:ascii="Tahoma" w:hAnsi="Tahoma" w:cs="Tahoma"/>
          <w:color w:val="000000"/>
        </w:rPr>
        <w:t xml:space="preserve">to explore solutions </w:t>
      </w:r>
      <w:r>
        <w:rPr>
          <w:rFonts w:ascii="Tahoma" w:hAnsi="Tahoma" w:cs="Tahoma"/>
          <w:color w:val="000000"/>
        </w:rPr>
        <w:t xml:space="preserve">must include the perspectives of those doing the work, receiving the care, and coordinating the work and/or care. </w:t>
      </w:r>
    </w:p>
    <w:p w:rsidR="009D2994" w:rsidRDefault="008263DF" w:rsidP="00CE21FD">
      <w:pPr>
        <w:pStyle w:val="Heading1"/>
        <w:spacing w:line="245" w:lineRule="auto"/>
      </w:pPr>
      <w:r>
        <w:t>PARTICIPANTS</w:t>
      </w:r>
    </w:p>
    <w:p w:rsidR="009D2994" w:rsidRDefault="008263DF" w:rsidP="00CE21FD">
      <w:pPr>
        <w:pStyle w:val="NormalWeb"/>
        <w:spacing w:before="0" w:beforeAutospacing="0" w:after="0" w:afterAutospacing="0" w:line="245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Around 200 thought leaders will be invited to participate in this event.  The invited thought leaders will represent a variety of perspectives including:</w:t>
      </w:r>
    </w:p>
    <w:p w:rsidR="009D2994" w:rsidRDefault="008263DF" w:rsidP="00CE21FD">
      <w:pPr>
        <w:numPr>
          <w:ilvl w:val="0"/>
          <w:numId w:val="1"/>
        </w:numPr>
        <w:spacing w:line="245" w:lineRule="auto"/>
        <w:ind w:left="54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</w:rPr>
        <w:t>Direct care/support workers themselves</w:t>
      </w:r>
    </w:p>
    <w:p w:rsidR="009D2994" w:rsidRDefault="008263DF" w:rsidP="00CE21FD">
      <w:pPr>
        <w:numPr>
          <w:ilvl w:val="0"/>
          <w:numId w:val="1"/>
        </w:numPr>
        <w:spacing w:line="245" w:lineRule="auto"/>
        <w:ind w:left="54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</w:rPr>
        <w:t>Persons receiving direct care/support services</w:t>
      </w:r>
    </w:p>
    <w:p w:rsidR="009D2994" w:rsidRDefault="008263DF" w:rsidP="00CE21FD">
      <w:pPr>
        <w:numPr>
          <w:ilvl w:val="0"/>
          <w:numId w:val="1"/>
        </w:numPr>
        <w:spacing w:line="245" w:lineRule="auto"/>
        <w:ind w:left="54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</w:rPr>
        <w:t>Organizations that employ or represent direct care/support workers</w:t>
      </w:r>
    </w:p>
    <w:p w:rsidR="009D2994" w:rsidRDefault="008263DF" w:rsidP="00CE21FD">
      <w:pPr>
        <w:numPr>
          <w:ilvl w:val="0"/>
          <w:numId w:val="1"/>
        </w:numPr>
        <w:spacing w:line="245" w:lineRule="auto"/>
        <w:ind w:left="54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</w:rPr>
        <w:t>Advocates for people receiving supports/services provided by direct care/support workers</w:t>
      </w:r>
    </w:p>
    <w:p w:rsidR="009D2994" w:rsidRDefault="008263DF" w:rsidP="00CE21FD">
      <w:pPr>
        <w:numPr>
          <w:ilvl w:val="0"/>
          <w:numId w:val="1"/>
        </w:numPr>
        <w:spacing w:line="245" w:lineRule="auto"/>
        <w:ind w:left="54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ascii="Tahoma" w:eastAsia="Times New Roman" w:hAnsi="Tahoma" w:cs="Tahoma"/>
          <w:color w:val="000000"/>
        </w:rPr>
        <w:t>Higher education</w:t>
      </w:r>
    </w:p>
    <w:p w:rsidR="009D2994" w:rsidRPr="00CE21FD" w:rsidRDefault="008263DF" w:rsidP="00CE21FD">
      <w:pPr>
        <w:numPr>
          <w:ilvl w:val="0"/>
          <w:numId w:val="1"/>
        </w:numPr>
        <w:spacing w:line="245" w:lineRule="auto"/>
        <w:ind w:left="54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</w:rPr>
        <w:t>State government</w:t>
      </w:r>
    </w:p>
    <w:p w:rsidR="009D2994" w:rsidRDefault="008263DF" w:rsidP="00CE21FD">
      <w:pPr>
        <w:pStyle w:val="Heading1"/>
        <w:spacing w:line="245" w:lineRule="auto"/>
      </w:pPr>
      <w:r>
        <w:t>ANTICIPATED OUTCOMES</w:t>
      </w:r>
    </w:p>
    <w:p w:rsidR="009D2994" w:rsidRDefault="00F46C70" w:rsidP="00CE21FD">
      <w:pPr>
        <w:numPr>
          <w:ilvl w:val="0"/>
          <w:numId w:val="2"/>
        </w:numPr>
        <w:spacing w:line="245" w:lineRule="auto"/>
        <w:ind w:left="54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</w:rPr>
        <w:t xml:space="preserve">Solutions with actionable strategies identified </w:t>
      </w:r>
      <w:r w:rsidR="008263DF">
        <w:rPr>
          <w:rFonts w:ascii="Tahoma" w:eastAsia="Times New Roman" w:hAnsi="Tahoma" w:cs="Tahoma"/>
          <w:color w:val="000000"/>
        </w:rPr>
        <w:t>that have potential to directly affect (grow) the workforce related to four strategic areas:</w:t>
      </w:r>
    </w:p>
    <w:p w:rsidR="009D2994" w:rsidRDefault="008263DF" w:rsidP="00CE21FD">
      <w:pPr>
        <w:numPr>
          <w:ilvl w:val="1"/>
          <w:numId w:val="3"/>
        </w:numPr>
        <w:spacing w:line="245" w:lineRule="auto"/>
        <w:ind w:left="1080"/>
        <w:textAlignment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Recruitment/Substitution/Technology Use </w:t>
      </w:r>
    </w:p>
    <w:p w:rsidR="009D2994" w:rsidRDefault="008263DF" w:rsidP="00CE21FD">
      <w:pPr>
        <w:numPr>
          <w:ilvl w:val="1"/>
          <w:numId w:val="3"/>
        </w:numPr>
        <w:spacing w:line="245" w:lineRule="auto"/>
        <w:ind w:left="1080"/>
        <w:textAlignment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Retention/Compensation/Job Redesign</w:t>
      </w:r>
    </w:p>
    <w:p w:rsidR="009D2994" w:rsidRDefault="008263DF" w:rsidP="00CE21FD">
      <w:pPr>
        <w:numPr>
          <w:ilvl w:val="1"/>
          <w:numId w:val="3"/>
        </w:numPr>
        <w:spacing w:line="245" w:lineRule="auto"/>
        <w:ind w:left="1080"/>
        <w:textAlignment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Quality/Support/ Training and Credentialing</w:t>
      </w:r>
    </w:p>
    <w:p w:rsidR="009D2994" w:rsidRDefault="008263DF" w:rsidP="00CE21FD">
      <w:pPr>
        <w:numPr>
          <w:ilvl w:val="1"/>
          <w:numId w:val="3"/>
        </w:numPr>
        <w:spacing w:line="245" w:lineRule="auto"/>
        <w:ind w:left="1080"/>
        <w:textAlignment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Career Ladders/Work Culture/Welcoming Environment</w:t>
      </w:r>
    </w:p>
    <w:p w:rsidR="009D2994" w:rsidRDefault="00F46C70" w:rsidP="00CE21FD">
      <w:pPr>
        <w:numPr>
          <w:ilvl w:val="0"/>
          <w:numId w:val="3"/>
        </w:numPr>
        <w:spacing w:line="245" w:lineRule="auto"/>
        <w:ind w:left="54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</w:rPr>
        <w:t>Identified solutions and the strategies to take action compiled</w:t>
      </w:r>
      <w:r w:rsidR="00461B10">
        <w:rPr>
          <w:rFonts w:ascii="Tahoma" w:eastAsia="Times New Roman" w:hAnsi="Tahoma" w:cs="Tahoma"/>
          <w:color w:val="000000"/>
        </w:rPr>
        <w:t xml:space="preserve"> and shared publically </w:t>
      </w:r>
    </w:p>
    <w:p w:rsidR="00CE21FD" w:rsidRPr="00461B10" w:rsidRDefault="00F46C70" w:rsidP="00E55489">
      <w:pPr>
        <w:numPr>
          <w:ilvl w:val="0"/>
          <w:numId w:val="3"/>
        </w:numPr>
        <w:spacing w:line="245" w:lineRule="auto"/>
        <w:ind w:left="540"/>
        <w:textAlignment w:val="center"/>
      </w:pPr>
      <w:r>
        <w:rPr>
          <w:rFonts w:ascii="Tahoma" w:eastAsia="Times New Roman" w:hAnsi="Tahoma" w:cs="Tahoma"/>
          <w:color w:val="000000"/>
        </w:rPr>
        <w:t xml:space="preserve">Solution workgroups </w:t>
      </w:r>
      <w:r w:rsidR="00461B10">
        <w:rPr>
          <w:rFonts w:ascii="Tahoma" w:eastAsia="Times New Roman" w:hAnsi="Tahoma" w:cs="Tahoma"/>
          <w:color w:val="000000"/>
        </w:rPr>
        <w:t xml:space="preserve">formed to take action </w:t>
      </w:r>
    </w:p>
    <w:p w:rsidR="00461B10" w:rsidRDefault="00461B10" w:rsidP="00461B10">
      <w:pPr>
        <w:spacing w:line="245" w:lineRule="auto"/>
        <w:textAlignment w:val="center"/>
        <w:sectPr w:rsidR="00461B10" w:rsidSect="00CE21FD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D2994" w:rsidRDefault="008263DF" w:rsidP="00CE21FD">
      <w:pPr>
        <w:pStyle w:val="Heading1"/>
        <w:spacing w:before="0" w:line="245" w:lineRule="auto"/>
      </w:pPr>
      <w:r>
        <w:lastRenderedPageBreak/>
        <w:t>WORKING AGENDA</w:t>
      </w:r>
    </w:p>
    <w:p w:rsidR="009D2994" w:rsidRDefault="008263DF" w:rsidP="00CE21FD">
      <w:pPr>
        <w:pStyle w:val="NormalWeb"/>
        <w:spacing w:before="0" w:beforeAutospacing="0" w:line="245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Tuesday, July 26 - 8:00 a.m. - 3:30 p.m. </w:t>
      </w:r>
    </w:p>
    <w:tbl>
      <w:tblPr>
        <w:tblW w:w="10530" w:type="dxa"/>
        <w:tblInd w:w="-55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2571"/>
        <w:gridCol w:w="6235"/>
      </w:tblGrid>
      <w:tr w:rsidR="009D2994" w:rsidTr="00CE21FD">
        <w:trPr>
          <w:divId w:val="495610299"/>
          <w:cantSplit/>
          <w:tblHeader/>
        </w:trPr>
        <w:tc>
          <w:tcPr>
            <w:tcW w:w="17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SESSION</w:t>
            </w:r>
          </w:p>
        </w:tc>
        <w:tc>
          <w:tcPr>
            <w:tcW w:w="6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DESCRIPTION </w:t>
            </w:r>
          </w:p>
        </w:tc>
      </w:tr>
      <w:tr w:rsidR="009D2994" w:rsidTr="00CE21FD">
        <w:trPr>
          <w:divId w:val="495610299"/>
          <w:cantSplit/>
        </w:trPr>
        <w:tc>
          <w:tcPr>
            <w:tcW w:w="17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 a.m.</w:t>
            </w:r>
          </w:p>
        </w:tc>
        <w:tc>
          <w:tcPr>
            <w:tcW w:w="2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Networking/Registration</w:t>
            </w:r>
          </w:p>
        </w:tc>
        <w:tc>
          <w:tcPr>
            <w:tcW w:w="6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9D2994" w:rsidTr="00CE21FD">
        <w:trPr>
          <w:divId w:val="495610299"/>
          <w:cantSplit/>
        </w:trPr>
        <w:tc>
          <w:tcPr>
            <w:tcW w:w="17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9:00 a.m.</w:t>
            </w:r>
          </w:p>
        </w:tc>
        <w:tc>
          <w:tcPr>
            <w:tcW w:w="2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Summit begins </w:t>
            </w:r>
          </w:p>
        </w:tc>
        <w:tc>
          <w:tcPr>
            <w:tcW w:w="6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Opening and Welcome</w:t>
            </w:r>
          </w:p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Loren Colman, Assistant Commissioner, DHS Continuing Care Administration</w:t>
            </w:r>
          </w:p>
          <w:p w:rsidR="009D2994" w:rsidRDefault="008263DF" w:rsidP="006A4FAE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Emily Piper, Commissioner, DHS</w:t>
            </w:r>
          </w:p>
        </w:tc>
      </w:tr>
      <w:tr w:rsidR="009D2994" w:rsidTr="00CE21FD">
        <w:trPr>
          <w:divId w:val="495610299"/>
          <w:cantSplit/>
        </w:trPr>
        <w:tc>
          <w:tcPr>
            <w:tcW w:w="17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9:15 </w:t>
            </w:r>
          </w:p>
        </w:tc>
        <w:tc>
          <w:tcPr>
            <w:tcW w:w="2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Set-the-State presentation</w:t>
            </w:r>
          </w:p>
        </w:tc>
        <w:tc>
          <w:tcPr>
            <w:tcW w:w="6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The realities of direct care/support workforce shortage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Susan Brower, Minnesota State Demographer</w:t>
            </w:r>
          </w:p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Laura Kalambokidis, Minnesota State Economist</w:t>
            </w:r>
          </w:p>
        </w:tc>
      </w:tr>
      <w:tr w:rsidR="009D2994" w:rsidTr="00CE21FD">
        <w:trPr>
          <w:divId w:val="495610299"/>
          <w:cantSplit/>
        </w:trPr>
        <w:tc>
          <w:tcPr>
            <w:tcW w:w="17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9:45</w:t>
            </w:r>
          </w:p>
        </w:tc>
        <w:tc>
          <w:tcPr>
            <w:tcW w:w="2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General session - Facilitated Panel discussion</w:t>
            </w:r>
          </w:p>
        </w:tc>
        <w:tc>
          <w:tcPr>
            <w:tcW w:w="6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Perspectives about the job and growing the workforce</w:t>
            </w:r>
          </w:p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 include 4-5 panelists who . . .</w:t>
            </w:r>
          </w:p>
          <w:p w:rsidR="009D2994" w:rsidRDefault="008263DF" w:rsidP="00CE21FD">
            <w:pPr>
              <w:numPr>
                <w:ilvl w:val="0"/>
                <w:numId w:val="5"/>
              </w:numPr>
              <w:spacing w:line="245" w:lineRule="auto"/>
              <w:ind w:left="540"/>
              <w:textAlignment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are either a direct care/support worker, recipient (or family member of recipient), or agency, and </w:t>
            </w:r>
          </w:p>
          <w:p w:rsidR="009D2994" w:rsidRDefault="008263DF" w:rsidP="00CE21FD">
            <w:pPr>
              <w:numPr>
                <w:ilvl w:val="0"/>
                <w:numId w:val="5"/>
              </w:numPr>
              <w:spacing w:line="245" w:lineRule="auto"/>
              <w:ind w:left="540"/>
              <w:textAlignment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can speak to one or more of the following perspectives:</w:t>
            </w:r>
          </w:p>
          <w:p w:rsidR="009D2994" w:rsidRDefault="008263DF" w:rsidP="00CE21FD">
            <w:pPr>
              <w:numPr>
                <w:ilvl w:val="0"/>
                <w:numId w:val="6"/>
              </w:numPr>
              <w:spacing w:line="245" w:lineRule="auto"/>
              <w:ind w:left="540"/>
              <w:textAlignment w:val="center"/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Serving older adults</w:t>
            </w:r>
          </w:p>
          <w:p w:rsidR="009D2994" w:rsidRDefault="008263DF" w:rsidP="00CE21FD">
            <w:pPr>
              <w:numPr>
                <w:ilvl w:val="0"/>
                <w:numId w:val="6"/>
              </w:numPr>
              <w:spacing w:line="245" w:lineRule="auto"/>
              <w:ind w:left="540"/>
              <w:textAlignment w:val="center"/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Serving persons with a disability</w:t>
            </w:r>
          </w:p>
          <w:p w:rsidR="009D2994" w:rsidRDefault="008263DF" w:rsidP="00CE21FD">
            <w:pPr>
              <w:numPr>
                <w:ilvl w:val="0"/>
                <w:numId w:val="6"/>
              </w:numPr>
              <w:spacing w:line="245" w:lineRule="auto"/>
              <w:ind w:left="540"/>
              <w:textAlignment w:val="center"/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Serving persons living with a mental health condition</w:t>
            </w:r>
          </w:p>
          <w:p w:rsidR="009D2994" w:rsidRDefault="008263DF" w:rsidP="00CE21FD">
            <w:pPr>
              <w:numPr>
                <w:ilvl w:val="0"/>
                <w:numId w:val="6"/>
              </w:numPr>
              <w:spacing w:line="245" w:lineRule="auto"/>
              <w:ind w:left="540"/>
              <w:textAlignment w:val="center"/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Coordinating care for yourself (self-advocate perspective)</w:t>
            </w:r>
          </w:p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ind w:left="5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Coordinating care for others (agency and/or family perspectives)</w:t>
            </w:r>
          </w:p>
        </w:tc>
      </w:tr>
      <w:tr w:rsidR="009D2994" w:rsidTr="00CE21FD">
        <w:trPr>
          <w:divId w:val="495610299"/>
          <w:cantSplit/>
        </w:trPr>
        <w:tc>
          <w:tcPr>
            <w:tcW w:w="17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10:45 a.m.</w:t>
            </w:r>
          </w:p>
        </w:tc>
        <w:tc>
          <w:tcPr>
            <w:tcW w:w="2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BREAK </w:t>
            </w:r>
          </w:p>
        </w:tc>
        <w:tc>
          <w:tcPr>
            <w:tcW w:w="6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Move into</w:t>
            </w:r>
            <w:r w:rsidR="00CE21FD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8 small groups - preassigned (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about 25 participants per group)</w:t>
            </w:r>
          </w:p>
        </w:tc>
      </w:tr>
      <w:tr w:rsidR="009D2994" w:rsidTr="00CE21FD">
        <w:trPr>
          <w:divId w:val="495610299"/>
          <w:cantSplit/>
        </w:trPr>
        <w:tc>
          <w:tcPr>
            <w:tcW w:w="17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11:00 a.m.</w:t>
            </w:r>
          </w:p>
        </w:tc>
        <w:tc>
          <w:tcPr>
            <w:tcW w:w="2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Small Groups – AM time</w:t>
            </w:r>
          </w:p>
        </w:tc>
        <w:tc>
          <w:tcPr>
            <w:tcW w:w="6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Small groups </w:t>
            </w:r>
          </w:p>
          <w:p w:rsidR="009D2994" w:rsidRDefault="008263DF" w:rsidP="00CE21FD">
            <w:pPr>
              <w:numPr>
                <w:ilvl w:val="0"/>
                <w:numId w:val="7"/>
              </w:numPr>
              <w:spacing w:line="245" w:lineRule="auto"/>
              <w:ind w:left="540"/>
              <w:textAlignment w:val="center"/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Each group will have a facilitator and 1-2 note takers </w:t>
            </w:r>
          </w:p>
          <w:p w:rsidR="009D2994" w:rsidRDefault="008263DF" w:rsidP="00CE21FD">
            <w:pPr>
              <w:numPr>
                <w:ilvl w:val="0"/>
                <w:numId w:val="7"/>
              </w:numPr>
              <w:spacing w:line="245" w:lineRule="auto"/>
              <w:ind w:left="540"/>
              <w:textAlignment w:val="center"/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Groups will be assigned two of the four issue areas </w:t>
            </w:r>
          </w:p>
          <w:p w:rsidR="009D2994" w:rsidRDefault="008263DF" w:rsidP="00CE21FD">
            <w:pPr>
              <w:numPr>
                <w:ilvl w:val="0"/>
                <w:numId w:val="7"/>
              </w:numPr>
              <w:spacing w:line="245" w:lineRule="auto"/>
              <w:ind w:left="540"/>
              <w:textAlignment w:val="center"/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Charge of the groups is to identify strategies to "grow" this workforce related to the two assigned issue areas</w:t>
            </w:r>
          </w:p>
          <w:p w:rsidR="009D2994" w:rsidRDefault="008263DF" w:rsidP="00CE21FD">
            <w:pPr>
              <w:numPr>
                <w:ilvl w:val="0"/>
                <w:numId w:val="7"/>
              </w:numPr>
              <w:spacing w:line="245" w:lineRule="auto"/>
              <w:ind w:left="540"/>
              <w:textAlignment w:val="center"/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Small groups will be provided a specific assignment</w:t>
            </w:r>
          </w:p>
          <w:p w:rsidR="009D2994" w:rsidRDefault="008263DF" w:rsidP="00CE21FD">
            <w:pPr>
              <w:numPr>
                <w:ilvl w:val="0"/>
                <w:numId w:val="7"/>
              </w:numPr>
              <w:spacing w:line="245" w:lineRule="auto"/>
              <w:ind w:left="540"/>
              <w:textAlignment w:val="center"/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Facilitators will be convened prior to the Summit to review the assignment/task for the small group time</w:t>
            </w:r>
          </w:p>
        </w:tc>
      </w:tr>
      <w:tr w:rsidR="009D2994" w:rsidTr="00CE21FD">
        <w:trPr>
          <w:divId w:val="495610299"/>
          <w:cantSplit/>
        </w:trPr>
        <w:tc>
          <w:tcPr>
            <w:tcW w:w="17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12:00 pm</w:t>
            </w:r>
          </w:p>
        </w:tc>
        <w:tc>
          <w:tcPr>
            <w:tcW w:w="2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BREAK - Box lunch </w:t>
            </w:r>
          </w:p>
        </w:tc>
        <w:tc>
          <w:tcPr>
            <w:tcW w:w="6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Pick up box lunches </w:t>
            </w:r>
          </w:p>
        </w:tc>
      </w:tr>
      <w:tr w:rsidR="009D2994" w:rsidTr="00CE21FD">
        <w:trPr>
          <w:divId w:val="495610299"/>
          <w:cantSplit/>
        </w:trPr>
        <w:tc>
          <w:tcPr>
            <w:tcW w:w="17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12:30 p.m.</w:t>
            </w:r>
          </w:p>
        </w:tc>
        <w:tc>
          <w:tcPr>
            <w:tcW w:w="2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Small Groups – PM time</w:t>
            </w:r>
          </w:p>
        </w:tc>
        <w:tc>
          <w:tcPr>
            <w:tcW w:w="6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Small Group (continued)</w:t>
            </w:r>
          </w:p>
        </w:tc>
      </w:tr>
      <w:tr w:rsidR="009D2994" w:rsidTr="00CE21FD">
        <w:trPr>
          <w:divId w:val="495610299"/>
          <w:cantSplit/>
        </w:trPr>
        <w:tc>
          <w:tcPr>
            <w:tcW w:w="17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BREAK (30 minutes)</w:t>
            </w:r>
          </w:p>
        </w:tc>
        <w:tc>
          <w:tcPr>
            <w:tcW w:w="6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 Move back into large group for reports and wrap-up</w:t>
            </w:r>
          </w:p>
        </w:tc>
      </w:tr>
      <w:tr w:rsidR="009D2994" w:rsidTr="00CE21FD">
        <w:trPr>
          <w:divId w:val="495610299"/>
          <w:cantSplit/>
        </w:trPr>
        <w:tc>
          <w:tcPr>
            <w:tcW w:w="17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2:00 p.m.</w:t>
            </w:r>
          </w:p>
        </w:tc>
        <w:tc>
          <w:tcPr>
            <w:tcW w:w="2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General session - Small Group Reports and facilitated discussion</w:t>
            </w:r>
          </w:p>
        </w:tc>
        <w:tc>
          <w:tcPr>
            <w:tcW w:w="6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Strategies to Grow the Direct Care/Support Workforce: A facilitated large group discussion</w:t>
            </w:r>
          </w:p>
          <w:p w:rsidR="009D2994" w:rsidRDefault="008263DF" w:rsidP="00CE21FD">
            <w:pPr>
              <w:numPr>
                <w:ilvl w:val="0"/>
                <w:numId w:val="8"/>
              </w:numPr>
              <w:spacing w:line="245" w:lineRule="auto"/>
              <w:ind w:left="540"/>
              <w:textAlignment w:val="center"/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Small groups report back (7-8 minutes per group)</w:t>
            </w:r>
          </w:p>
          <w:p w:rsidR="009D2994" w:rsidRDefault="008263DF" w:rsidP="00CE21FD">
            <w:pPr>
              <w:numPr>
                <w:ilvl w:val="0"/>
                <w:numId w:val="8"/>
              </w:numPr>
              <w:spacing w:line="245" w:lineRule="auto"/>
              <w:ind w:left="540"/>
              <w:textAlignment w:val="center"/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About 20 minutes for discussion</w:t>
            </w:r>
          </w:p>
          <w:p w:rsidR="009D2994" w:rsidRDefault="008263DF" w:rsidP="00CE21FD">
            <w:pPr>
              <w:numPr>
                <w:ilvl w:val="0"/>
                <w:numId w:val="8"/>
              </w:numPr>
              <w:spacing w:line="245" w:lineRule="auto"/>
              <w:ind w:left="540"/>
              <w:textAlignment w:val="center"/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Small groups may designate a presenter, if none designated facilitator will present ideas of groups</w:t>
            </w:r>
          </w:p>
        </w:tc>
      </w:tr>
      <w:tr w:rsidR="009D2994" w:rsidTr="00CE21FD">
        <w:trPr>
          <w:divId w:val="495610299"/>
          <w:cantSplit/>
        </w:trPr>
        <w:tc>
          <w:tcPr>
            <w:tcW w:w="17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3:20 p.m.</w:t>
            </w:r>
          </w:p>
        </w:tc>
        <w:tc>
          <w:tcPr>
            <w:tcW w:w="2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Closing - Wrap-up</w:t>
            </w:r>
          </w:p>
        </w:tc>
        <w:tc>
          <w:tcPr>
            <w:tcW w:w="6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Closing words</w:t>
            </w:r>
          </w:p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Loren Colman, Assistant Commissioner, DHS Continuing Care Administration</w:t>
            </w:r>
          </w:p>
        </w:tc>
      </w:tr>
      <w:tr w:rsidR="009D2994" w:rsidTr="00CE21FD">
        <w:trPr>
          <w:divId w:val="495610299"/>
          <w:cantSplit/>
        </w:trPr>
        <w:tc>
          <w:tcPr>
            <w:tcW w:w="17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3:30 p.m.</w:t>
            </w:r>
          </w:p>
        </w:tc>
        <w:tc>
          <w:tcPr>
            <w:tcW w:w="2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Summit ends</w:t>
            </w:r>
          </w:p>
        </w:tc>
        <w:tc>
          <w:tcPr>
            <w:tcW w:w="6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2994" w:rsidRDefault="008263DF" w:rsidP="00CE21FD">
            <w:pPr>
              <w:pStyle w:val="NormalWeb"/>
              <w:spacing w:before="0" w:beforeAutospacing="0" w:after="0" w:afterAutospacing="0" w:line="245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</w:tbl>
    <w:p w:rsidR="009D2994" w:rsidRDefault="009D2994" w:rsidP="00CE21FD">
      <w:pPr>
        <w:spacing w:line="245" w:lineRule="auto"/>
        <w:divId w:val="495610299"/>
        <w:rPr>
          <w:rFonts w:eastAsia="Times New Roman"/>
        </w:rPr>
      </w:pPr>
    </w:p>
    <w:sectPr w:rsidR="009D2994" w:rsidSect="00CE21FD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1FD" w:rsidRDefault="00CE21FD" w:rsidP="00CE21FD">
      <w:r>
        <w:separator/>
      </w:r>
    </w:p>
  </w:endnote>
  <w:endnote w:type="continuationSeparator" w:id="0">
    <w:p w:rsidR="00CE21FD" w:rsidRDefault="00CE21FD" w:rsidP="00CE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1FD" w:rsidRDefault="00CE21FD" w:rsidP="00CE21FD">
      <w:r>
        <w:separator/>
      </w:r>
    </w:p>
  </w:footnote>
  <w:footnote w:type="continuationSeparator" w:id="0">
    <w:p w:rsidR="00CE21FD" w:rsidRDefault="00CE21FD" w:rsidP="00CE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1FD" w:rsidRDefault="00CE21FD" w:rsidP="00CE21FD">
    <w:pPr>
      <w:pStyle w:val="Heading1"/>
      <w:spacing w:line="245" w:lineRule="auto"/>
    </w:pPr>
    <w:r>
      <w:t>WORKING AGENDA</w:t>
    </w:r>
  </w:p>
  <w:p w:rsidR="00CE21FD" w:rsidRPr="00CE21FD" w:rsidRDefault="00CE21FD">
    <w:pPr>
      <w:pStyle w:val="Header"/>
      <w:rPr>
        <w:rFonts w:ascii="Tahoma" w:hAnsi="Tahoma" w:cs="Tahoma"/>
      </w:rPr>
    </w:pPr>
    <w:r w:rsidRPr="00CE21FD">
      <w:rPr>
        <w:rFonts w:ascii="Tahoma" w:hAnsi="Tahoma" w:cs="Tahoma"/>
      </w:rPr>
      <w:t>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1FD" w:rsidRDefault="00CE21FD">
    <w:pPr>
      <w:pStyle w:val="Header"/>
    </w:pPr>
    <w:r>
      <w:rPr>
        <w:rFonts w:ascii="Calibri Light" w:hAnsi="Calibri Light"/>
        <w:noProof/>
        <w:color w:val="000000"/>
        <w:sz w:val="40"/>
        <w:szCs w:val="40"/>
      </w:rPr>
      <w:drawing>
        <wp:inline distT="0" distB="0" distL="0" distR="0" wp14:anchorId="43AA9D03" wp14:editId="03564B4B">
          <wp:extent cx="1028700" cy="485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950" cy="488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1FD" w:rsidRPr="00CE21FD" w:rsidRDefault="00CE21FD" w:rsidP="00CE2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552C8"/>
    <w:multiLevelType w:val="multilevel"/>
    <w:tmpl w:val="F0745A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24EB0"/>
    <w:multiLevelType w:val="multilevel"/>
    <w:tmpl w:val="0D5C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D143E1"/>
    <w:multiLevelType w:val="multilevel"/>
    <w:tmpl w:val="A584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6A39A5"/>
    <w:multiLevelType w:val="multilevel"/>
    <w:tmpl w:val="55E8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DA75D5"/>
    <w:multiLevelType w:val="multilevel"/>
    <w:tmpl w:val="9452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E27997"/>
    <w:multiLevelType w:val="multilevel"/>
    <w:tmpl w:val="BBA4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5"/>
    <w:lvlOverride w:ilvl="1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DF"/>
    <w:rsid w:val="00187A2F"/>
    <w:rsid w:val="002F685E"/>
    <w:rsid w:val="003D388D"/>
    <w:rsid w:val="00461B10"/>
    <w:rsid w:val="006A4FAE"/>
    <w:rsid w:val="008263DF"/>
    <w:rsid w:val="009D2994"/>
    <w:rsid w:val="00BE6045"/>
    <w:rsid w:val="00CE21FD"/>
    <w:rsid w:val="00F4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B9C76-D62E-41B6-BCA5-5CA2CAAC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1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E2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1F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2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1FD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21F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1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3570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 Baker, Mary</dc:creator>
  <cp:keywords/>
  <dc:description/>
  <cp:lastModifiedBy>Kathy Messerli</cp:lastModifiedBy>
  <cp:revision>2</cp:revision>
  <dcterms:created xsi:type="dcterms:W3CDTF">2016-06-30T14:58:00Z</dcterms:created>
  <dcterms:modified xsi:type="dcterms:W3CDTF">2016-06-30T14:58:00Z</dcterms:modified>
</cp:coreProperties>
</file>