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CE5BB" w14:textId="77777777" w:rsidR="008818C5" w:rsidRDefault="008818C5"/>
    <w:p w14:paraId="66C4D987" w14:textId="77777777" w:rsidR="008818C5" w:rsidRDefault="008818C5"/>
    <w:p w14:paraId="6B831984" w14:textId="2E096039" w:rsidR="008818C5" w:rsidRDefault="008818C5">
      <w:r w:rsidRPr="008818C5">
        <w:t xml:space="preserve">This </w:t>
      </w:r>
      <w:r>
        <w:t>Resource</w:t>
      </w:r>
      <w:r w:rsidRPr="008818C5">
        <w:t xml:space="preserve"> has been designed to assist a clinician in documenting the Face-to-Face (F2F) encounter and in establishing the Medicare beneficiary’s eligibility and need for home health services. </w:t>
      </w:r>
    </w:p>
    <w:p w14:paraId="26D8EF49" w14:textId="2E14D905" w:rsidR="008818C5" w:rsidRDefault="008818C5">
      <w:r w:rsidRPr="008818C5">
        <w:t>As described in 42 CFR 424.22, the F2F encounter must be related to the primary reason the patient requires home health services and must be performed no more than 90 days prior to the home health start of care date or within 30 days after the start of the home health care.</w:t>
      </w:r>
    </w:p>
    <w:p w14:paraId="163ADD83" w14:textId="54C8E054" w:rsidR="00150E33" w:rsidRDefault="008818C5">
      <w:r>
        <w:t xml:space="preserve">New in 2026, </w:t>
      </w:r>
      <w:r w:rsidR="00FF4CCE">
        <w:t>CMS finalized conforming regulations to allow physicians, in addition to NPs, CNSs, and PAs, to perform the face-to-face encounter regardless</w:t>
      </w:r>
      <w:r>
        <w:t xml:space="preserve"> </w:t>
      </w:r>
      <w:r w:rsidR="00FF4CCE">
        <w:t xml:space="preserve">of whether they are the certifying practitioner or whether they cared for the patient in the acute or </w:t>
      </w:r>
      <w:r>
        <w:t>post-acute</w:t>
      </w:r>
      <w:r w:rsidR="00FF4CCE">
        <w:t xml:space="preserve"> facility from which the patient was directly admitted </w:t>
      </w:r>
      <w:proofErr w:type="gramStart"/>
      <w:r w:rsidR="00FF4CCE">
        <w:t>to home</w:t>
      </w:r>
      <w:proofErr w:type="gramEnd"/>
      <w:r w:rsidR="00FF4CCE">
        <w:t xml:space="preserve"> health and who is different from the certifying practitioner. </w:t>
      </w:r>
    </w:p>
    <w:p w14:paraId="2191E6D8" w14:textId="65502358" w:rsidR="008818C5" w:rsidRPr="008818C5" w:rsidRDefault="008818C5">
      <w:pPr>
        <w:rPr>
          <w:b/>
          <w:bCs/>
          <w:color w:val="156082" w:themeColor="accent1"/>
          <w:sz w:val="28"/>
          <w:szCs w:val="28"/>
        </w:rPr>
      </w:pPr>
      <w:r w:rsidRPr="008818C5">
        <w:rPr>
          <w:b/>
          <w:bCs/>
          <w:color w:val="156082" w:themeColor="accent1"/>
          <w:sz w:val="28"/>
          <w:szCs w:val="28"/>
        </w:rPr>
        <w:t>Patient Eligibility for Coverage of Home Health Services under Medicare</w:t>
      </w:r>
    </w:p>
    <w:p w14:paraId="237EE57B" w14:textId="77777777" w:rsidR="00553C11" w:rsidRDefault="00553C11">
      <w:r>
        <w:t xml:space="preserve">For a Medicare beneficiary to be eligible to receive Medicare home health services, the physician must certify that: </w:t>
      </w:r>
    </w:p>
    <w:p w14:paraId="7DB3B6F8" w14:textId="77777777" w:rsidR="00553C11" w:rsidRDefault="00553C11" w:rsidP="00553C11">
      <w:pPr>
        <w:spacing w:after="0"/>
      </w:pPr>
      <w:r>
        <w:t xml:space="preserve">1. The patient needs or needed: </w:t>
      </w:r>
    </w:p>
    <w:p w14:paraId="1533DDBF" w14:textId="77777777" w:rsidR="00553C11" w:rsidRDefault="00553C11" w:rsidP="00553C11">
      <w:pPr>
        <w:spacing w:after="0"/>
        <w:ind w:firstLine="720"/>
      </w:pPr>
      <w:r>
        <w:t xml:space="preserve">a. intermittent skilled nursing </w:t>
      </w:r>
      <w:proofErr w:type="gramStart"/>
      <w:r>
        <w:t>care;</w:t>
      </w:r>
      <w:proofErr w:type="gramEnd"/>
      <w:r>
        <w:t xml:space="preserve"> </w:t>
      </w:r>
    </w:p>
    <w:p w14:paraId="6DF9420F" w14:textId="77777777" w:rsidR="00553C11" w:rsidRDefault="00553C11" w:rsidP="00553C11">
      <w:pPr>
        <w:spacing w:after="0"/>
        <w:ind w:firstLine="720"/>
      </w:pPr>
      <w:r>
        <w:t xml:space="preserve">b. physical </w:t>
      </w:r>
      <w:proofErr w:type="gramStart"/>
      <w:r>
        <w:t>therapy;</w:t>
      </w:r>
      <w:proofErr w:type="gramEnd"/>
      <w:r>
        <w:t xml:space="preserve"> </w:t>
      </w:r>
    </w:p>
    <w:p w14:paraId="4CFA810D" w14:textId="77777777" w:rsidR="00553C11" w:rsidRDefault="00553C11" w:rsidP="00553C11">
      <w:pPr>
        <w:spacing w:after="0"/>
        <w:ind w:firstLine="720"/>
      </w:pPr>
      <w:r>
        <w:t xml:space="preserve">c. speech-language pathology services; or </w:t>
      </w:r>
    </w:p>
    <w:p w14:paraId="2737CA06" w14:textId="77777777" w:rsidR="00553C11" w:rsidRDefault="00553C11" w:rsidP="00553C11">
      <w:pPr>
        <w:spacing w:after="0" w:line="240" w:lineRule="auto"/>
        <w:ind w:left="720"/>
      </w:pPr>
      <w:r>
        <w:t>d. has a continuing need for occupational therapy, if the patient no longer needs any</w:t>
      </w:r>
    </w:p>
    <w:p w14:paraId="46294348" w14:textId="2786BB10" w:rsidR="00553C11" w:rsidRDefault="00553C11" w:rsidP="00553C11">
      <w:pPr>
        <w:spacing w:after="0" w:line="240" w:lineRule="auto"/>
        <w:ind w:left="720"/>
      </w:pPr>
      <w:r>
        <w:t xml:space="preserve">     of the above therapies. </w:t>
      </w:r>
    </w:p>
    <w:p w14:paraId="433DFF06" w14:textId="77777777" w:rsidR="00553C11" w:rsidRDefault="00553C11">
      <w:r>
        <w:t>2. The patient is or was confined to the home (i.e., homebound).</w:t>
      </w:r>
    </w:p>
    <w:p w14:paraId="48912A1D" w14:textId="77777777" w:rsidR="00553C11" w:rsidRDefault="00553C11" w:rsidP="00553C11">
      <w:pPr>
        <w:spacing w:after="0" w:line="240" w:lineRule="auto"/>
        <w:jc w:val="both"/>
      </w:pPr>
      <w:r>
        <w:t xml:space="preserve">3. A patient plan of care for furnishing the services has been established by a physician </w:t>
      </w:r>
    </w:p>
    <w:p w14:paraId="07122F57" w14:textId="77777777" w:rsidR="00553C11" w:rsidRDefault="00553C11" w:rsidP="00553C11">
      <w:pPr>
        <w:spacing w:after="0" w:line="240" w:lineRule="auto"/>
        <w:jc w:val="both"/>
      </w:pPr>
      <w:r>
        <w:t xml:space="preserve">    who is a Doctor of Medicine, osteopathy, or podiatric medicine, and who is has no  </w:t>
      </w:r>
    </w:p>
    <w:p w14:paraId="37F8D3B3" w14:textId="0317BD2C" w:rsidR="00553C11" w:rsidRDefault="00553C11" w:rsidP="00553C11">
      <w:pPr>
        <w:spacing w:after="0" w:line="240" w:lineRule="auto"/>
        <w:jc w:val="both"/>
      </w:pPr>
      <w:r>
        <w:t xml:space="preserve">    financial relationship with the Home Health Agency (HHA). (A doctor of podiatric </w:t>
      </w:r>
    </w:p>
    <w:p w14:paraId="3C489257" w14:textId="40C0EACB" w:rsidR="00553C11" w:rsidRDefault="00553C11" w:rsidP="00553C11">
      <w:pPr>
        <w:spacing w:after="0" w:line="240" w:lineRule="auto"/>
        <w:jc w:val="both"/>
      </w:pPr>
      <w:r>
        <w:t xml:space="preserve">    medicine may perform only plan of treatment functions that are consistent with the </w:t>
      </w:r>
    </w:p>
    <w:p w14:paraId="7B03B964" w14:textId="43FC5539" w:rsidR="00553C11" w:rsidRDefault="00553C11" w:rsidP="00553C11">
      <w:pPr>
        <w:spacing w:after="0" w:line="240" w:lineRule="auto"/>
        <w:jc w:val="both"/>
      </w:pPr>
      <w:r>
        <w:t xml:space="preserve">    functions he or she is authorized to perform under state law.)</w:t>
      </w:r>
    </w:p>
    <w:p w14:paraId="615BD2DD" w14:textId="77777777" w:rsidR="00553C11" w:rsidRDefault="00553C11" w:rsidP="00553C11">
      <w:pPr>
        <w:spacing w:after="0"/>
      </w:pPr>
      <w:r>
        <w:t xml:space="preserve"> 4. The patient services will be or were furnished under the care of a physician who is a </w:t>
      </w:r>
    </w:p>
    <w:p w14:paraId="750784AD" w14:textId="6F18185B" w:rsidR="00553C11" w:rsidRDefault="00553C11" w:rsidP="00553C11">
      <w:pPr>
        <w:spacing w:after="0"/>
      </w:pPr>
      <w:r>
        <w:t xml:space="preserve">      Doctor of Medicine, osteopathy, or podiatric medicine.  </w:t>
      </w:r>
    </w:p>
    <w:p w14:paraId="30A0AE22" w14:textId="77777777" w:rsidR="00553C11" w:rsidRDefault="00553C11" w:rsidP="00553C11">
      <w:pPr>
        <w:spacing w:after="0"/>
      </w:pPr>
      <w:r>
        <w:t xml:space="preserve"> 5. A face-to-face encounter occurred no more than 90 days prior to or within 30 days after </w:t>
      </w:r>
    </w:p>
    <w:p w14:paraId="2F3FFA0D" w14:textId="77777777" w:rsidR="00553C11" w:rsidRDefault="00553C11" w:rsidP="00553C11">
      <w:pPr>
        <w:spacing w:after="0"/>
      </w:pPr>
      <w:r>
        <w:t xml:space="preserve">      the start of the home health care, was related to the primary reason the patient requires </w:t>
      </w:r>
    </w:p>
    <w:p w14:paraId="57215C35" w14:textId="1A912ECF" w:rsidR="008818C5" w:rsidRPr="008818C5" w:rsidRDefault="00553C11" w:rsidP="00553C11">
      <w:pPr>
        <w:spacing w:after="0"/>
        <w:rPr>
          <w:b/>
          <w:bCs/>
          <w:color w:val="156082" w:themeColor="accent1"/>
          <w:sz w:val="28"/>
          <w:szCs w:val="28"/>
        </w:rPr>
      </w:pPr>
      <w:r>
        <w:t xml:space="preserve">      home care. </w:t>
      </w:r>
    </w:p>
    <w:p w14:paraId="35DD6564" w14:textId="77777777" w:rsidR="008818C5" w:rsidRDefault="008818C5"/>
    <w:p w14:paraId="2F480F12" w14:textId="77777777" w:rsidR="008818C5" w:rsidRDefault="008818C5"/>
    <w:p w14:paraId="32B3D16D" w14:textId="77777777" w:rsidR="00553C11" w:rsidRPr="00632599" w:rsidRDefault="00553C11">
      <w:pPr>
        <w:rPr>
          <w:color w:val="156082" w:themeColor="accent1"/>
          <w:sz w:val="28"/>
          <w:szCs w:val="28"/>
        </w:rPr>
      </w:pPr>
      <w:r w:rsidRPr="00632599">
        <w:rPr>
          <w:color w:val="156082" w:themeColor="accent1"/>
          <w:sz w:val="28"/>
          <w:szCs w:val="28"/>
        </w:rPr>
        <w:t xml:space="preserve">Confined to the Home” (Homebound) </w:t>
      </w:r>
    </w:p>
    <w:p w14:paraId="457EF0C7" w14:textId="77777777" w:rsidR="00553C11" w:rsidRDefault="00553C11">
      <w:r>
        <w:t xml:space="preserve">Documentation from the certifying physician/acute/post-acute care facility’s medical records serves as the basis upon which patient eligibility for the Medicare home health benefit is to be determined. Such documentation includes information that substantiates that the patient is confined to his/her home. </w:t>
      </w:r>
      <w:proofErr w:type="gramStart"/>
      <w:r>
        <w:t>In order to</w:t>
      </w:r>
      <w:proofErr w:type="gramEnd"/>
      <w:r>
        <w:t xml:space="preserve"> be considered “confined to the home” (i.e., homebound), </w:t>
      </w:r>
    </w:p>
    <w:p w14:paraId="283C8748" w14:textId="77777777" w:rsidR="00553C11" w:rsidRDefault="00553C11">
      <w:r>
        <w:t>the following two criteria must be met:</w:t>
      </w:r>
    </w:p>
    <w:p w14:paraId="61109C85" w14:textId="7B688DB8" w:rsidR="00553C11" w:rsidRDefault="00553C11">
      <w:r>
        <w:t xml:space="preserve">1. Criteria-One: The patient must </w:t>
      </w:r>
      <w:r w:rsidR="00BD5EDB">
        <w:t>either:</w:t>
      </w:r>
    </w:p>
    <w:p w14:paraId="333D990C" w14:textId="77777777" w:rsidR="00553C11" w:rsidRDefault="00553C11" w:rsidP="00632599">
      <w:pPr>
        <w:ind w:left="720"/>
      </w:pPr>
      <w:r>
        <w:t xml:space="preserve">a) Because of illness or injury, need the aid of supportive devices such as crutches, canes, wheelchairs, and walkers; the use of special transportation; or the assistance of another person </w:t>
      </w:r>
      <w:proofErr w:type="gramStart"/>
      <w:r>
        <w:t>in order to</w:t>
      </w:r>
      <w:proofErr w:type="gramEnd"/>
      <w:r>
        <w:t xml:space="preserve"> leave their place of residence, OR </w:t>
      </w:r>
    </w:p>
    <w:p w14:paraId="75158AF6" w14:textId="77777777" w:rsidR="00553C11" w:rsidRDefault="00553C11" w:rsidP="00632599">
      <w:pPr>
        <w:ind w:firstLine="720"/>
      </w:pPr>
      <w:r>
        <w:t xml:space="preserve">b) Have a condition such that leaving his or her home is medically contraindicated. </w:t>
      </w:r>
    </w:p>
    <w:p w14:paraId="2A24C077" w14:textId="77777777" w:rsidR="00553C11" w:rsidRDefault="00553C11" w:rsidP="00632599">
      <w:pPr>
        <w:ind w:left="720"/>
      </w:pPr>
      <w:r>
        <w:t xml:space="preserve">The patient must meet one of the Criteria One conditions listed above </w:t>
      </w:r>
      <w:proofErr w:type="gramStart"/>
      <w:r>
        <w:t>and also</w:t>
      </w:r>
      <w:proofErr w:type="gramEnd"/>
      <w:r>
        <w:t xml:space="preserve"> meet the two additional requirements defined in Criteria Two below to be considered homebound for purposes of eligibility for the Medicare home health benefit. </w:t>
      </w:r>
    </w:p>
    <w:p w14:paraId="7999506D" w14:textId="77777777" w:rsidR="00553C11" w:rsidRDefault="00553C11">
      <w:r>
        <w:t xml:space="preserve">2. Criteria-Two: </w:t>
      </w:r>
    </w:p>
    <w:p w14:paraId="28825F90" w14:textId="77777777" w:rsidR="00553C11" w:rsidRDefault="00553C11" w:rsidP="00632599">
      <w:pPr>
        <w:ind w:firstLine="720"/>
      </w:pPr>
      <w:r>
        <w:t xml:space="preserve">a) There must exist a normal inability to leave home; and </w:t>
      </w:r>
    </w:p>
    <w:p w14:paraId="103E64F3" w14:textId="77777777" w:rsidR="00632599" w:rsidRDefault="00553C11" w:rsidP="00632599">
      <w:pPr>
        <w:ind w:left="720"/>
      </w:pPr>
      <w:r>
        <w:t xml:space="preserve">b) Leaving home must require a considerable and taxing effort. NOTE: The clinician needs to </w:t>
      </w:r>
      <w:proofErr w:type="gramStart"/>
      <w:r>
        <w:t>take into account</w:t>
      </w:r>
      <w:proofErr w:type="gramEnd"/>
      <w:r>
        <w:t xml:space="preserve"> the illness or injury for which the patient met criterion one and consider the illness or injury in the context of the patient’s overall condition. The clinician is not required to include standardized phrases reflecting the patient’s condition (e.g., repeating the words “taxing effort to leave the home”) in the patient’s chart, nor are such phrases sufficient, by themselves, to demonstrate that criterion two has been met. For example, longitudinal clinical information about the patient’s health status is typically needed to sufficiently demonstrate a normal inability to leave the home and that leaving home requires a considerable and taxing effort. Such clinical information about the patient’s overall health status may include, but is not limited to, such factors as the patient’s diagnosis, duration of the patient’s condition, clinical course (worsening or improvement), prognosis, nature and extent of functional limitations, other therapeutic interventions and results, etc.</w:t>
      </w:r>
    </w:p>
    <w:p w14:paraId="3208F755" w14:textId="79E6A1BD" w:rsidR="00632599" w:rsidRDefault="00553C11" w:rsidP="00632599">
      <w:pPr>
        <w:ind w:left="720" w:firstLine="50"/>
      </w:pPr>
      <w:r>
        <w:lastRenderedPageBreak/>
        <w:t xml:space="preserve">If the patient does in fact leave the home, the patient may nevertheless be considered homebound if the absences from the home are infrequent or for periods of relatively short </w:t>
      </w:r>
      <w:r w:rsidR="00632599">
        <w:t>duration or</w:t>
      </w:r>
      <w:r>
        <w:t xml:space="preserve"> are attributable to the need to receive health care treatment. Likewise, occasional absences from the home for </w:t>
      </w:r>
      <w:r w:rsidR="00632599">
        <w:t>non-medical</w:t>
      </w:r>
      <w:r>
        <w:t xml:space="preserve"> purposes does not necessitate a finding that the patient is not homebound if the absences are undertaken on an infrequent basis or are of relatively short duration and do not indicate that the patient has the capacity to obtain the health care provided outside rather than in the home: </w:t>
      </w:r>
      <w:proofErr w:type="gramStart"/>
      <w:r>
        <w:t>e.g.;</w:t>
      </w:r>
      <w:proofErr w:type="gramEnd"/>
      <w:r>
        <w:t xml:space="preserve"> </w:t>
      </w:r>
    </w:p>
    <w:p w14:paraId="6CB5D8B3" w14:textId="77777777" w:rsidR="00632599" w:rsidRDefault="00553C11" w:rsidP="00632599">
      <w:pPr>
        <w:ind w:firstLine="720"/>
      </w:pPr>
      <w:r>
        <w:t xml:space="preserve">a) Occasional trip to the barber, </w:t>
      </w:r>
    </w:p>
    <w:p w14:paraId="11DF5F7B" w14:textId="77777777" w:rsidR="00632599" w:rsidRDefault="00553C11" w:rsidP="00632599">
      <w:pPr>
        <w:ind w:firstLine="720"/>
      </w:pPr>
      <w:r>
        <w:t>b) Walk around the block or a drive,</w:t>
      </w:r>
    </w:p>
    <w:p w14:paraId="056D5C1C" w14:textId="3C7C776C" w:rsidR="00632599" w:rsidRDefault="00553C11">
      <w:r>
        <w:t xml:space="preserve"> </w:t>
      </w:r>
      <w:r w:rsidR="00632599">
        <w:tab/>
      </w:r>
      <w:r>
        <w:t xml:space="preserve">c) Attendance at a family reunion, </w:t>
      </w:r>
    </w:p>
    <w:p w14:paraId="149D4FAA" w14:textId="77777777" w:rsidR="00632599" w:rsidRDefault="00553C11" w:rsidP="00632599">
      <w:pPr>
        <w:ind w:firstLine="720"/>
      </w:pPr>
      <w:r>
        <w:t>d) Funeral,</w:t>
      </w:r>
    </w:p>
    <w:p w14:paraId="24073AB3" w14:textId="0DFE4726" w:rsidR="00632599" w:rsidRDefault="00553C11">
      <w:r>
        <w:t xml:space="preserve"> </w:t>
      </w:r>
      <w:r w:rsidR="00632599">
        <w:tab/>
      </w:r>
      <w:r>
        <w:t xml:space="preserve">e) Graduation, or </w:t>
      </w:r>
    </w:p>
    <w:p w14:paraId="40139639" w14:textId="659519AF" w:rsidR="008818C5" w:rsidRDefault="00553C11" w:rsidP="00632599">
      <w:pPr>
        <w:ind w:firstLine="720"/>
      </w:pPr>
      <w:r>
        <w:t>f) Other infrequent or unique event.</w:t>
      </w:r>
    </w:p>
    <w:p w14:paraId="4EF1DA1E" w14:textId="77777777" w:rsidR="008818C5" w:rsidRDefault="008818C5"/>
    <w:p w14:paraId="317F1BCD" w14:textId="472DF2CB" w:rsidR="008818C5" w:rsidRPr="00632599" w:rsidRDefault="00632599">
      <w:pPr>
        <w:rPr>
          <w:color w:val="156082" w:themeColor="accent1"/>
          <w:sz w:val="28"/>
          <w:szCs w:val="28"/>
        </w:rPr>
      </w:pPr>
      <w:r w:rsidRPr="00632599">
        <w:rPr>
          <w:color w:val="156082" w:themeColor="accent1"/>
          <w:sz w:val="28"/>
          <w:szCs w:val="28"/>
        </w:rPr>
        <w:t>Telehealth</w:t>
      </w:r>
    </w:p>
    <w:p w14:paraId="03B1CA95" w14:textId="3C6536E6" w:rsidR="00A02399" w:rsidRPr="00A02399" w:rsidRDefault="00A02399" w:rsidP="00A02399">
      <w:pPr>
        <w:numPr>
          <w:ilvl w:val="0"/>
          <w:numId w:val="1"/>
        </w:numPr>
        <w:shd w:val="clear" w:color="auto" w:fill="FFFFFF"/>
        <w:spacing w:after="0" w:line="240" w:lineRule="auto"/>
        <w:rPr>
          <w:rFonts w:eastAsia="Times New Roman" w:cs="Times New Roman"/>
          <w:spacing w:val="15"/>
          <w:kern w:val="0"/>
          <w14:ligatures w14:val="none"/>
        </w:rPr>
      </w:pPr>
      <w:r w:rsidRPr="00A02399">
        <w:rPr>
          <w:rFonts w:eastAsia="Times New Roman" w:cs="Times New Roman"/>
          <w:spacing w:val="15"/>
          <w:kern w:val="0"/>
          <w14:ligatures w14:val="none"/>
        </w:rPr>
        <w:t xml:space="preserve">For home health providers, the </w:t>
      </w:r>
      <w:proofErr w:type="spellStart"/>
      <w:r w:rsidRPr="00A02399">
        <w:rPr>
          <w:rFonts w:eastAsia="Times New Roman" w:cs="Times New Roman"/>
          <w:spacing w:val="15"/>
          <w:kern w:val="0"/>
          <w14:ligatures w14:val="none"/>
        </w:rPr>
        <w:t>Consoldiated</w:t>
      </w:r>
      <w:proofErr w:type="spellEnd"/>
      <w:r w:rsidRPr="00A02399">
        <w:rPr>
          <w:rFonts w:eastAsia="Times New Roman" w:cs="Times New Roman"/>
          <w:spacing w:val="15"/>
          <w:kern w:val="0"/>
          <w14:ligatures w14:val="none"/>
        </w:rPr>
        <w:t xml:space="preserve"> </w:t>
      </w:r>
      <w:proofErr w:type="spellStart"/>
      <w:r w:rsidRPr="00A02399">
        <w:rPr>
          <w:rFonts w:eastAsia="Times New Roman" w:cs="Times New Roman"/>
          <w:spacing w:val="15"/>
          <w:kern w:val="0"/>
          <w14:ligatures w14:val="none"/>
        </w:rPr>
        <w:t>Appropriateion</w:t>
      </w:r>
      <w:proofErr w:type="spellEnd"/>
      <w:r w:rsidRPr="00A02399">
        <w:rPr>
          <w:rFonts w:eastAsia="Times New Roman" w:cs="Times New Roman"/>
          <w:spacing w:val="15"/>
          <w:kern w:val="0"/>
          <w14:ligatures w14:val="none"/>
        </w:rPr>
        <w:t xml:space="preserve"> Act 2026 extends provisions removing geographic requirements and expanding originating sites through December 31, 2027. This allows the required face-to-face visit (F2F) to be performed via telehealth</w:t>
      </w:r>
      <w:r>
        <w:rPr>
          <w:rFonts w:eastAsia="Times New Roman" w:cs="Times New Roman"/>
          <w:spacing w:val="15"/>
          <w:kern w:val="0"/>
          <w14:ligatures w14:val="none"/>
        </w:rPr>
        <w:t>. (An</w:t>
      </w:r>
      <w:r w:rsidRPr="00A02399">
        <w:rPr>
          <w:rFonts w:eastAsia="Times New Roman" w:cs="Times New Roman"/>
          <w:spacing w:val="15"/>
          <w:kern w:val="0"/>
          <w14:ligatures w14:val="none"/>
        </w:rPr>
        <w:t xml:space="preserve"> originating site is the location of an eligible Medicare beneficiary at the time the F2F was performed using a telecommunications system</w:t>
      </w:r>
      <w:r>
        <w:rPr>
          <w:rFonts w:eastAsia="Times New Roman" w:cs="Times New Roman"/>
          <w:spacing w:val="15"/>
          <w:kern w:val="0"/>
          <w14:ligatures w14:val="none"/>
        </w:rPr>
        <w:t>)</w:t>
      </w:r>
      <w:r w:rsidRPr="00A02399">
        <w:rPr>
          <w:rFonts w:eastAsia="Times New Roman" w:cs="Times New Roman"/>
          <w:spacing w:val="15"/>
          <w:kern w:val="0"/>
          <w14:ligatures w14:val="none"/>
        </w:rPr>
        <w:t>.</w:t>
      </w:r>
    </w:p>
    <w:p w14:paraId="0C765BE9" w14:textId="56B559A5" w:rsidR="00A02399" w:rsidRPr="00A02399" w:rsidRDefault="00A02399" w:rsidP="00A02399">
      <w:pPr>
        <w:shd w:val="clear" w:color="auto" w:fill="FFFFFF"/>
        <w:spacing w:after="0" w:line="240" w:lineRule="auto"/>
        <w:ind w:left="720"/>
        <w:rPr>
          <w:rFonts w:eastAsia="Times New Roman" w:cs="Times New Roman"/>
          <w:spacing w:val="15"/>
          <w:kern w:val="0"/>
          <w14:ligatures w14:val="none"/>
        </w:rPr>
      </w:pPr>
    </w:p>
    <w:p w14:paraId="494B97A2" w14:textId="77777777" w:rsidR="008818C5" w:rsidRPr="00A02399" w:rsidRDefault="008818C5"/>
    <w:p w14:paraId="7D808F3F" w14:textId="77777777" w:rsidR="008818C5" w:rsidRDefault="008818C5"/>
    <w:p w14:paraId="6ABD20E5" w14:textId="77777777" w:rsidR="008818C5" w:rsidRDefault="008818C5"/>
    <w:p w14:paraId="4D6B4427" w14:textId="77777777" w:rsidR="008818C5" w:rsidRDefault="008818C5"/>
    <w:p w14:paraId="6D0973E6" w14:textId="77777777" w:rsidR="008818C5" w:rsidRDefault="008818C5"/>
    <w:p w14:paraId="65E69DF4" w14:textId="77777777" w:rsidR="008818C5" w:rsidRDefault="008818C5"/>
    <w:p w14:paraId="39951E2D" w14:textId="77777777" w:rsidR="008818C5" w:rsidRDefault="008818C5"/>
    <w:p w14:paraId="0550D367" w14:textId="77777777" w:rsidR="008818C5" w:rsidRDefault="008818C5"/>
    <w:p w14:paraId="164992EF" w14:textId="77777777" w:rsidR="008818C5" w:rsidRDefault="008818C5"/>
    <w:p w14:paraId="70F18E35" w14:textId="01C91A42" w:rsidR="008818C5" w:rsidRPr="00632599" w:rsidRDefault="00632599">
      <w:pPr>
        <w:rPr>
          <w:color w:val="156082" w:themeColor="accent1"/>
          <w:sz w:val="28"/>
          <w:szCs w:val="28"/>
        </w:rPr>
      </w:pPr>
      <w:r w:rsidRPr="00632599">
        <w:rPr>
          <w:color w:val="156082" w:themeColor="accent1"/>
          <w:sz w:val="28"/>
          <w:szCs w:val="28"/>
        </w:rPr>
        <w:t>Supporting Documentation</w:t>
      </w:r>
    </w:p>
    <w:p w14:paraId="2B727922" w14:textId="34B5C9F6" w:rsidR="00632599" w:rsidRDefault="00632599">
      <w:r>
        <w:t xml:space="preserve">Information from the HHA may be incorporated into the certifying physician’s and/or the acute/post-acute care facility’s medical record regarding the patient for whom the home health services are ordered/certified. When considering incorporation of information from the HHA the following are expected and required: </w:t>
      </w:r>
    </w:p>
    <w:p w14:paraId="7FCCAAB7" w14:textId="77777777" w:rsidR="00632599" w:rsidRDefault="00632599" w:rsidP="00632599">
      <w:pPr>
        <w:ind w:left="720"/>
      </w:pPr>
      <w:r>
        <w:t xml:space="preserve">• Information from the HHA must be corroborated by other medical record entries and align with the time-period in which services were rendered. </w:t>
      </w:r>
    </w:p>
    <w:p w14:paraId="006F02BE" w14:textId="619DDA4D" w:rsidR="008818C5" w:rsidRDefault="00632599" w:rsidP="00632599">
      <w:pPr>
        <w:ind w:left="720"/>
      </w:pPr>
      <w:r>
        <w:t>• The certifying physician must review and sign off on anything incorporated into the patient’s medical record that is used to support the certification of patient eligibility (that is, agree with the material by signing and dating the entry).</w:t>
      </w:r>
    </w:p>
    <w:p w14:paraId="5D51246A" w14:textId="77777777" w:rsidR="008818C5" w:rsidRDefault="008818C5"/>
    <w:p w14:paraId="6CFE8603" w14:textId="77777777" w:rsidR="00A02399" w:rsidRDefault="00A02399"/>
    <w:p w14:paraId="534BB36B" w14:textId="77777777" w:rsidR="00A02399" w:rsidRDefault="00A02399"/>
    <w:p w14:paraId="1829F5DD" w14:textId="77777777" w:rsidR="00A02399" w:rsidRDefault="00A02399"/>
    <w:p w14:paraId="096A4931" w14:textId="5E29A7E9" w:rsidR="00A02399" w:rsidRDefault="00A02399">
      <w:pPr>
        <w:rPr>
          <w:b/>
          <w:bCs/>
          <w:color w:val="156082" w:themeColor="accent1"/>
          <w:sz w:val="28"/>
          <w:szCs w:val="28"/>
        </w:rPr>
      </w:pPr>
      <w:r w:rsidRPr="00A02399">
        <w:rPr>
          <w:b/>
          <w:bCs/>
          <w:color w:val="156082" w:themeColor="accent1"/>
          <w:sz w:val="28"/>
          <w:szCs w:val="28"/>
        </w:rPr>
        <w:t>References</w:t>
      </w:r>
    </w:p>
    <w:p w14:paraId="5B7AE6BF" w14:textId="5A73E884" w:rsidR="00A02399" w:rsidRDefault="00A02399" w:rsidP="00A02399">
      <w:pPr>
        <w:pStyle w:val="ListParagraph"/>
        <w:numPr>
          <w:ilvl w:val="0"/>
          <w:numId w:val="5"/>
        </w:numPr>
      </w:pPr>
      <w:r w:rsidRPr="003104F6">
        <w:t>Center for Medicare and Medicaid Services (CMS)</w:t>
      </w:r>
      <w:r w:rsidR="003104F6" w:rsidRPr="003104F6">
        <w:t xml:space="preserve">.  </w:t>
      </w:r>
      <w:hyperlink r:id="rId7" w:history="1">
        <w:r w:rsidR="003104F6" w:rsidRPr="003104F6">
          <w:rPr>
            <w:rStyle w:val="Hyperlink"/>
            <w:color w:val="auto"/>
          </w:rPr>
          <w:t>Home Health Services F2F Encounter Template</w:t>
        </w:r>
      </w:hyperlink>
    </w:p>
    <w:p w14:paraId="15438A1E" w14:textId="4B30A0FA" w:rsidR="003104F6" w:rsidRDefault="003104F6" w:rsidP="00A02399">
      <w:pPr>
        <w:pStyle w:val="ListParagraph"/>
        <w:numPr>
          <w:ilvl w:val="0"/>
          <w:numId w:val="5"/>
        </w:numPr>
      </w:pPr>
      <w:r>
        <w:t xml:space="preserve">Federal </w:t>
      </w:r>
      <w:proofErr w:type="spellStart"/>
      <w:r>
        <w:t>Regisger</w:t>
      </w:r>
      <w:proofErr w:type="spellEnd"/>
      <w:r>
        <w:t xml:space="preserve">. (12/2/25). </w:t>
      </w:r>
      <w:hyperlink r:id="rId8" w:history="1">
        <w:r w:rsidRPr="003104F6">
          <w:rPr>
            <w:rStyle w:val="Hyperlink"/>
          </w:rPr>
          <w:t xml:space="preserve">Federal </w:t>
        </w:r>
        <w:proofErr w:type="gramStart"/>
        <w:r w:rsidRPr="003104F6">
          <w:rPr>
            <w:rStyle w:val="Hyperlink"/>
          </w:rPr>
          <w:t>Register :</w:t>
        </w:r>
        <w:proofErr w:type="gramEnd"/>
        <w:r w:rsidRPr="003104F6">
          <w:rPr>
            <w:rStyle w:val="Hyperlink"/>
          </w:rPr>
          <w:t>: Medicare and Medicaid Programs; Calendar Year 2026 Home Health Prospective Payment System (HH PPS) Rate Update; Requirements for the HH Quality Reporting Program and the HH Value-Based Purchasing Expanded Model; Durable Medical Equipment, Prosthetics, Orthotics, and Supplies (DMEPOS) Competitive Bidding Program Updates; DMEPOS Accreditation Requirements; Provider Enrollment; and Other Medicare and Medicaid Policies</w:t>
        </w:r>
      </w:hyperlink>
    </w:p>
    <w:p w14:paraId="448A1A9D" w14:textId="435B0109" w:rsidR="003104F6" w:rsidRPr="003104F6" w:rsidRDefault="003104F6" w:rsidP="00A02399">
      <w:pPr>
        <w:pStyle w:val="ListParagraph"/>
        <w:numPr>
          <w:ilvl w:val="0"/>
          <w:numId w:val="5"/>
        </w:numPr>
      </w:pPr>
      <w:r>
        <w:t xml:space="preserve">National Alliance for Health Care: (2/3/26). </w:t>
      </w:r>
      <w:hyperlink r:id="rId9" w:history="1">
        <w:r w:rsidRPr="003104F6">
          <w:rPr>
            <w:rStyle w:val="Hyperlink"/>
          </w:rPr>
          <w:t>President Trump Signs the Consolidated Appropriations Act, 2026 Ending the Government Shutdown - National Alliance for Care at Home | National Alliance for Care at Home</w:t>
        </w:r>
      </w:hyperlink>
    </w:p>
    <w:p w14:paraId="4CF7EE8E" w14:textId="77777777" w:rsidR="00A02399" w:rsidRDefault="00A02399">
      <w:pPr>
        <w:rPr>
          <w:b/>
          <w:bCs/>
          <w:color w:val="156082" w:themeColor="accent1"/>
          <w:sz w:val="28"/>
          <w:szCs w:val="28"/>
        </w:rPr>
      </w:pPr>
    </w:p>
    <w:sectPr w:rsidR="00A0239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C942E" w14:textId="77777777" w:rsidR="008818C5" w:rsidRDefault="008818C5" w:rsidP="008818C5">
      <w:pPr>
        <w:spacing w:after="0" w:line="240" w:lineRule="auto"/>
      </w:pPr>
      <w:r>
        <w:separator/>
      </w:r>
    </w:p>
  </w:endnote>
  <w:endnote w:type="continuationSeparator" w:id="0">
    <w:p w14:paraId="465CF0E8" w14:textId="77777777" w:rsidR="008818C5" w:rsidRDefault="008818C5" w:rsidP="0088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420EB" w14:textId="34A96344" w:rsidR="00632599" w:rsidRDefault="00632599">
    <w:pPr>
      <w:pStyle w:val="Footer"/>
    </w:pPr>
    <w:r>
      <w:t>Updated February 4,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9CECD" w14:textId="77777777" w:rsidR="008818C5" w:rsidRDefault="008818C5" w:rsidP="008818C5">
      <w:pPr>
        <w:spacing w:after="0" w:line="240" w:lineRule="auto"/>
      </w:pPr>
      <w:r>
        <w:separator/>
      </w:r>
    </w:p>
  </w:footnote>
  <w:footnote w:type="continuationSeparator" w:id="0">
    <w:p w14:paraId="58D34E78" w14:textId="77777777" w:rsidR="008818C5" w:rsidRDefault="008818C5" w:rsidP="00881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EFFB4" w14:textId="6201E57A" w:rsidR="008818C5" w:rsidRDefault="008818C5">
    <w:pPr>
      <w:pStyle w:val="Header"/>
    </w:pPr>
    <w:r>
      <w:tab/>
      <w:t>Home Health Services F2F Encounter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6495A"/>
    <w:multiLevelType w:val="hybridMultilevel"/>
    <w:tmpl w:val="4D3EB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36978"/>
    <w:multiLevelType w:val="multilevel"/>
    <w:tmpl w:val="CB3E9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87132"/>
    <w:multiLevelType w:val="hybridMultilevel"/>
    <w:tmpl w:val="95D23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E73E94"/>
    <w:multiLevelType w:val="multilevel"/>
    <w:tmpl w:val="E452C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857E56"/>
    <w:multiLevelType w:val="multilevel"/>
    <w:tmpl w:val="E256A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9837312">
    <w:abstractNumId w:val="1"/>
  </w:num>
  <w:num w:numId="2" w16cid:durableId="486897878">
    <w:abstractNumId w:val="3"/>
  </w:num>
  <w:num w:numId="3" w16cid:durableId="337511579">
    <w:abstractNumId w:val="4"/>
  </w:num>
  <w:num w:numId="4" w16cid:durableId="100028451">
    <w:abstractNumId w:val="0"/>
  </w:num>
  <w:num w:numId="5" w16cid:durableId="2060738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CE"/>
    <w:rsid w:val="00150E33"/>
    <w:rsid w:val="003104F6"/>
    <w:rsid w:val="00446741"/>
    <w:rsid w:val="004F76E9"/>
    <w:rsid w:val="00553C11"/>
    <w:rsid w:val="00566133"/>
    <w:rsid w:val="00632599"/>
    <w:rsid w:val="008818C5"/>
    <w:rsid w:val="00A02399"/>
    <w:rsid w:val="00AD4959"/>
    <w:rsid w:val="00BD5EDB"/>
    <w:rsid w:val="00FF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B471"/>
  <w15:chartTrackingRefBased/>
  <w15:docId w15:val="{7877CFE6-D8F4-4CEA-BD95-C40B6B16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C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CCE"/>
    <w:rPr>
      <w:rFonts w:eastAsiaTheme="majorEastAsia" w:cstheme="majorBidi"/>
      <w:color w:val="272727" w:themeColor="text1" w:themeTint="D8"/>
    </w:rPr>
  </w:style>
  <w:style w:type="paragraph" w:styleId="Title">
    <w:name w:val="Title"/>
    <w:basedOn w:val="Normal"/>
    <w:next w:val="Normal"/>
    <w:link w:val="TitleChar"/>
    <w:uiPriority w:val="10"/>
    <w:qFormat/>
    <w:rsid w:val="00FF4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CCE"/>
    <w:pPr>
      <w:spacing w:before="160"/>
      <w:jc w:val="center"/>
    </w:pPr>
    <w:rPr>
      <w:i/>
      <w:iCs/>
      <w:color w:val="404040" w:themeColor="text1" w:themeTint="BF"/>
    </w:rPr>
  </w:style>
  <w:style w:type="character" w:customStyle="1" w:styleId="QuoteChar">
    <w:name w:val="Quote Char"/>
    <w:basedOn w:val="DefaultParagraphFont"/>
    <w:link w:val="Quote"/>
    <w:uiPriority w:val="29"/>
    <w:rsid w:val="00FF4CCE"/>
    <w:rPr>
      <w:i/>
      <w:iCs/>
      <w:color w:val="404040" w:themeColor="text1" w:themeTint="BF"/>
    </w:rPr>
  </w:style>
  <w:style w:type="paragraph" w:styleId="ListParagraph">
    <w:name w:val="List Paragraph"/>
    <w:basedOn w:val="Normal"/>
    <w:uiPriority w:val="34"/>
    <w:qFormat/>
    <w:rsid w:val="00FF4CCE"/>
    <w:pPr>
      <w:ind w:left="720"/>
      <w:contextualSpacing/>
    </w:pPr>
  </w:style>
  <w:style w:type="character" w:styleId="IntenseEmphasis">
    <w:name w:val="Intense Emphasis"/>
    <w:basedOn w:val="DefaultParagraphFont"/>
    <w:uiPriority w:val="21"/>
    <w:qFormat/>
    <w:rsid w:val="00FF4CCE"/>
    <w:rPr>
      <w:i/>
      <w:iCs/>
      <w:color w:val="0F4761" w:themeColor="accent1" w:themeShade="BF"/>
    </w:rPr>
  </w:style>
  <w:style w:type="paragraph" w:styleId="IntenseQuote">
    <w:name w:val="Intense Quote"/>
    <w:basedOn w:val="Normal"/>
    <w:next w:val="Normal"/>
    <w:link w:val="IntenseQuoteChar"/>
    <w:uiPriority w:val="30"/>
    <w:qFormat/>
    <w:rsid w:val="00FF4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CCE"/>
    <w:rPr>
      <w:i/>
      <w:iCs/>
      <w:color w:val="0F4761" w:themeColor="accent1" w:themeShade="BF"/>
    </w:rPr>
  </w:style>
  <w:style w:type="character" w:styleId="IntenseReference">
    <w:name w:val="Intense Reference"/>
    <w:basedOn w:val="DefaultParagraphFont"/>
    <w:uiPriority w:val="32"/>
    <w:qFormat/>
    <w:rsid w:val="00FF4CCE"/>
    <w:rPr>
      <w:b/>
      <w:bCs/>
      <w:smallCaps/>
      <w:color w:val="0F4761" w:themeColor="accent1" w:themeShade="BF"/>
      <w:spacing w:val="5"/>
    </w:rPr>
  </w:style>
  <w:style w:type="paragraph" w:styleId="Header">
    <w:name w:val="header"/>
    <w:basedOn w:val="Normal"/>
    <w:link w:val="HeaderChar"/>
    <w:uiPriority w:val="99"/>
    <w:unhideWhenUsed/>
    <w:rsid w:val="00881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8C5"/>
  </w:style>
  <w:style w:type="paragraph" w:styleId="Footer">
    <w:name w:val="footer"/>
    <w:basedOn w:val="Normal"/>
    <w:link w:val="FooterChar"/>
    <w:uiPriority w:val="99"/>
    <w:unhideWhenUsed/>
    <w:rsid w:val="00881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8C5"/>
  </w:style>
  <w:style w:type="character" w:styleId="Hyperlink">
    <w:name w:val="Hyperlink"/>
    <w:basedOn w:val="DefaultParagraphFont"/>
    <w:uiPriority w:val="99"/>
    <w:unhideWhenUsed/>
    <w:rsid w:val="00A02399"/>
    <w:rPr>
      <w:color w:val="467886" w:themeColor="hyperlink"/>
      <w:u w:val="single"/>
    </w:rPr>
  </w:style>
  <w:style w:type="character" w:styleId="UnresolvedMention">
    <w:name w:val="Unresolved Mention"/>
    <w:basedOn w:val="DefaultParagraphFont"/>
    <w:uiPriority w:val="99"/>
    <w:semiHidden/>
    <w:unhideWhenUsed/>
    <w:rsid w:val="00A02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5/12/02/2025-21767/medicare-and-medicaid-programs-calendar-year-2026-home-health-prospective-payment-system-hh-pps-ra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ms.gov/sites/default/files/repo-new/9/Home%20Health%20Services%20F2F%20Encounter%20Template%20Draft%2020180709%20R2.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llianceforcareathome.org/president-trump-signs-the-consolidated-appropriations-act-2026-ending-the-government-shutd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6465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Paulette Duncan</dc:creator>
  <cp:keywords/>
  <dc:description/>
  <cp:lastModifiedBy>Barb Jezorski</cp:lastModifiedBy>
  <cp:revision>2</cp:revision>
  <dcterms:created xsi:type="dcterms:W3CDTF">2026-03-16T19:34:00Z</dcterms:created>
  <dcterms:modified xsi:type="dcterms:W3CDTF">2026-03-16T19:34:00Z</dcterms:modified>
</cp:coreProperties>
</file>