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FBB2" w14:textId="77777777" w:rsidR="00886608" w:rsidRPr="00886608" w:rsidRDefault="00886608" w:rsidP="0088660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6608">
        <w:rPr>
          <w:rFonts w:ascii="Times New Roman" w:eastAsia="Times New Roman" w:hAnsi="Times New Roman" w:cs="Times New Roman"/>
          <w:b/>
          <w:bCs/>
          <w:kern w:val="0"/>
          <w:sz w:val="36"/>
          <w:szCs w:val="36"/>
          <w14:ligatures w14:val="none"/>
        </w:rPr>
        <w:t>§ 418.22 Certification of terminal illness.</w:t>
      </w:r>
    </w:p>
    <w:p w14:paraId="71F4932F" w14:textId="77777777" w:rsidR="00886608" w:rsidRPr="00886608" w:rsidRDefault="00886608" w:rsidP="00886608">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(a) </w:t>
      </w:r>
      <w:r w:rsidRPr="00886608">
        <w:rPr>
          <w:rFonts w:ascii="Times New Roman" w:eastAsia="Times New Roman" w:hAnsi="Times New Roman" w:cs="Times New Roman"/>
          <w:b/>
          <w:bCs/>
          <w:i/>
          <w:iCs/>
          <w:kern w:val="0"/>
          <w:sz w:val="24"/>
          <w:szCs w:val="24"/>
          <w14:ligatures w14:val="none"/>
        </w:rPr>
        <w:t>Timing of certification</w:t>
      </w:r>
      <w:r w:rsidRPr="00886608">
        <w:rPr>
          <w:rFonts w:ascii="Times New Roman" w:eastAsia="Times New Roman" w:hAnsi="Times New Roman" w:cs="Times New Roman"/>
          <w:kern w:val="0"/>
          <w:sz w:val="24"/>
          <w:szCs w:val="24"/>
          <w14:ligatures w14:val="none"/>
        </w:rPr>
        <w:t xml:space="preserve"> —</w:t>
      </w:r>
    </w:p>
    <w:p w14:paraId="4EBF62C5"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(1) </w:t>
      </w:r>
      <w:r w:rsidRPr="00886608">
        <w:rPr>
          <w:rFonts w:ascii="Times New Roman" w:eastAsia="Times New Roman" w:hAnsi="Times New Roman" w:cs="Times New Roman"/>
          <w:b/>
          <w:bCs/>
          <w:i/>
          <w:iCs/>
          <w:kern w:val="0"/>
          <w:sz w:val="24"/>
          <w:szCs w:val="24"/>
          <w14:ligatures w14:val="none"/>
        </w:rPr>
        <w:t>General rule.</w:t>
      </w:r>
      <w:r w:rsidRPr="00886608">
        <w:rPr>
          <w:rFonts w:ascii="Times New Roman" w:eastAsia="Times New Roman" w:hAnsi="Times New Roman" w:cs="Times New Roman"/>
          <w:kern w:val="0"/>
          <w:sz w:val="24"/>
          <w:szCs w:val="24"/>
          <w14:ligatures w14:val="none"/>
        </w:rPr>
        <w:t xml:space="preserve"> The hospice must obtain written certification of terminal illness for each of the periods listed in </w:t>
      </w:r>
      <w:hyperlink r:id="rId4" w:history="1">
        <w:r w:rsidRPr="00886608">
          <w:rPr>
            <w:rFonts w:ascii="Times New Roman" w:eastAsia="Times New Roman" w:hAnsi="Times New Roman" w:cs="Times New Roman"/>
            <w:color w:val="0000FF"/>
            <w:kern w:val="0"/>
            <w:sz w:val="24"/>
            <w:szCs w:val="24"/>
            <w:u w:val="single"/>
            <w14:ligatures w14:val="none"/>
          </w:rPr>
          <w:t>§ 418.21</w:t>
        </w:r>
      </w:hyperlink>
      <w:r w:rsidRPr="00886608">
        <w:rPr>
          <w:rFonts w:ascii="Times New Roman" w:eastAsia="Times New Roman" w:hAnsi="Times New Roman" w:cs="Times New Roman"/>
          <w:kern w:val="0"/>
          <w:sz w:val="24"/>
          <w:szCs w:val="24"/>
          <w14:ligatures w14:val="none"/>
        </w:rPr>
        <w:t xml:space="preserve">, even if a single election continues in effect for an unlimited number of periods, as provided in </w:t>
      </w:r>
      <w:hyperlink r:id="rId5" w:anchor="p-418.24(c)" w:history="1">
        <w:r w:rsidRPr="00886608">
          <w:rPr>
            <w:rFonts w:ascii="Times New Roman" w:eastAsia="Times New Roman" w:hAnsi="Times New Roman" w:cs="Times New Roman"/>
            <w:color w:val="0000FF"/>
            <w:kern w:val="0"/>
            <w:sz w:val="24"/>
            <w:szCs w:val="24"/>
            <w:u w:val="single"/>
            <w14:ligatures w14:val="none"/>
          </w:rPr>
          <w:t>§ 418.24(c)</w:t>
        </w:r>
      </w:hyperlink>
      <w:r w:rsidRPr="00886608">
        <w:rPr>
          <w:rFonts w:ascii="Times New Roman" w:eastAsia="Times New Roman" w:hAnsi="Times New Roman" w:cs="Times New Roman"/>
          <w:kern w:val="0"/>
          <w:sz w:val="24"/>
          <w:szCs w:val="24"/>
          <w14:ligatures w14:val="none"/>
        </w:rPr>
        <w:t>.</w:t>
      </w:r>
    </w:p>
    <w:p w14:paraId="1F3CF151"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(2) </w:t>
      </w:r>
      <w:r w:rsidRPr="00886608">
        <w:rPr>
          <w:rFonts w:ascii="Times New Roman" w:eastAsia="Times New Roman" w:hAnsi="Times New Roman" w:cs="Times New Roman"/>
          <w:b/>
          <w:bCs/>
          <w:i/>
          <w:iCs/>
          <w:kern w:val="0"/>
          <w:sz w:val="24"/>
          <w:szCs w:val="24"/>
          <w14:ligatures w14:val="none"/>
        </w:rPr>
        <w:t>Basic requirement.</w:t>
      </w:r>
      <w:r w:rsidRPr="00886608">
        <w:rPr>
          <w:rFonts w:ascii="Times New Roman" w:eastAsia="Times New Roman" w:hAnsi="Times New Roman" w:cs="Times New Roman"/>
          <w:kern w:val="0"/>
          <w:sz w:val="24"/>
          <w:szCs w:val="24"/>
          <w14:ligatures w14:val="none"/>
        </w:rPr>
        <w:t xml:space="preserve"> Except as provided in </w:t>
      </w:r>
      <w:hyperlink r:id="rId6" w:anchor="p-418.22(a)(3)" w:history="1">
        <w:r w:rsidRPr="00886608">
          <w:rPr>
            <w:rFonts w:ascii="Times New Roman" w:eastAsia="Times New Roman" w:hAnsi="Times New Roman" w:cs="Times New Roman"/>
            <w:color w:val="0000FF"/>
            <w:kern w:val="0"/>
            <w:sz w:val="24"/>
            <w:szCs w:val="24"/>
            <w:u w:val="single"/>
            <w14:ligatures w14:val="none"/>
          </w:rPr>
          <w:t>paragraph (a)(3)</w:t>
        </w:r>
      </w:hyperlink>
      <w:r w:rsidRPr="00886608">
        <w:rPr>
          <w:rFonts w:ascii="Times New Roman" w:eastAsia="Times New Roman" w:hAnsi="Times New Roman" w:cs="Times New Roman"/>
          <w:kern w:val="0"/>
          <w:sz w:val="24"/>
          <w:szCs w:val="24"/>
          <w14:ligatures w14:val="none"/>
        </w:rPr>
        <w:t xml:space="preserve"> of this section, the hospice must obtain the written certification before it submits a claim for payment.</w:t>
      </w:r>
    </w:p>
    <w:p w14:paraId="00026A6D"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(3) </w:t>
      </w:r>
      <w:r w:rsidRPr="00886608">
        <w:rPr>
          <w:rFonts w:ascii="Times New Roman" w:eastAsia="Times New Roman" w:hAnsi="Times New Roman" w:cs="Times New Roman"/>
          <w:b/>
          <w:bCs/>
          <w:i/>
          <w:iCs/>
          <w:kern w:val="0"/>
          <w:sz w:val="24"/>
          <w:szCs w:val="24"/>
          <w14:ligatures w14:val="none"/>
        </w:rPr>
        <w:t>Exceptions.</w:t>
      </w:r>
      <w:r w:rsidRPr="00886608">
        <w:rPr>
          <w:rFonts w:ascii="Times New Roman" w:eastAsia="Times New Roman" w:hAnsi="Times New Roman" w:cs="Times New Roman"/>
          <w:kern w:val="0"/>
          <w:sz w:val="24"/>
          <w:szCs w:val="24"/>
          <w14:ligatures w14:val="none"/>
        </w:rPr>
        <w:t xml:space="preserve"> </w:t>
      </w:r>
    </w:p>
    <w:p w14:paraId="77B97B56"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 If the hospice cannot obtain the written certification within 2 calendar days, after a period begins, it must obtain an oral certification within 2 calendar days and the written certification before it submits a claim for payment.</w:t>
      </w:r>
    </w:p>
    <w:p w14:paraId="21BD84BC"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(ii) Certifications may be completed no more than 15 calendar days prior to the effective date of election.</w:t>
      </w:r>
    </w:p>
    <w:p w14:paraId="7E99F6B0"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(iii) Recertifications may be completed no more than 15 calendar days prior to the start of the subsequent benefit period.</w:t>
      </w:r>
    </w:p>
    <w:p w14:paraId="7399A855"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(4) </w:t>
      </w:r>
      <w:r w:rsidRPr="00886608">
        <w:rPr>
          <w:rFonts w:ascii="Times New Roman" w:eastAsia="Times New Roman" w:hAnsi="Times New Roman" w:cs="Times New Roman"/>
          <w:b/>
          <w:bCs/>
          <w:i/>
          <w:iCs/>
          <w:kern w:val="0"/>
          <w:sz w:val="24"/>
          <w:szCs w:val="24"/>
          <w14:ligatures w14:val="none"/>
        </w:rPr>
        <w:t>Face-to-face encounter.</w:t>
      </w:r>
      <w:r w:rsidRPr="00886608">
        <w:rPr>
          <w:rFonts w:ascii="Times New Roman" w:eastAsia="Times New Roman" w:hAnsi="Times New Roman" w:cs="Times New Roman"/>
          <w:kern w:val="0"/>
          <w:sz w:val="24"/>
          <w:szCs w:val="24"/>
          <w14:ligatures w14:val="none"/>
        </w:rPr>
        <w:t xml:space="preserve"> </w:t>
      </w:r>
    </w:p>
    <w:p w14:paraId="68DBC262"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 As of January 1, 2011, a hospice physician or hospice nurse practitioner must have a face-to-face encounter with each hospice patient whose total stay across all hospices is anticipated to reach the 3rd benefit period. The face-to-face encounter must occur prior to, but no more than 30 calendar days prior to, the 3rd benefit period recertification, and every benefit period recertification thereafter, to gather clinical findings to determine continued eligibility for hospice care.</w:t>
      </w:r>
    </w:p>
    <w:p w14:paraId="51BD0D08"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(ii) During a Public Health Emergency, as defined in </w:t>
      </w:r>
      <w:hyperlink r:id="rId7" w:history="1">
        <w:r w:rsidRPr="00886608">
          <w:rPr>
            <w:rFonts w:ascii="Times New Roman" w:eastAsia="Times New Roman" w:hAnsi="Times New Roman" w:cs="Times New Roman"/>
            <w:color w:val="0000FF"/>
            <w:kern w:val="0"/>
            <w:sz w:val="24"/>
            <w:szCs w:val="24"/>
            <w:u w:val="single"/>
            <w14:ligatures w14:val="none"/>
          </w:rPr>
          <w:t>§ 400.200 of this chapter</w:t>
        </w:r>
      </w:hyperlink>
      <w:r w:rsidRPr="00886608">
        <w:rPr>
          <w:rFonts w:ascii="Times New Roman" w:eastAsia="Times New Roman" w:hAnsi="Times New Roman" w:cs="Times New Roman"/>
          <w:kern w:val="0"/>
          <w:sz w:val="24"/>
          <w:szCs w:val="24"/>
          <w14:ligatures w14:val="none"/>
        </w:rPr>
        <w:t xml:space="preserve">, or through December 31, 2024, whichever is later, if the face-to-face encounter conducted by a hospice physician or hospice nurse practitioner is for the sole purpose of hospice recertification, such encounter may occur via a telecommunications technology and is considered an administrative expense. </w:t>
      </w:r>
      <w:r w:rsidRPr="00886608">
        <w:rPr>
          <w:rFonts w:ascii="Times New Roman" w:eastAsia="Times New Roman" w:hAnsi="Times New Roman" w:cs="Times New Roman"/>
          <w:i/>
          <w:iCs/>
          <w:kern w:val="0"/>
          <w:sz w:val="24"/>
          <w:szCs w:val="24"/>
          <w14:ligatures w14:val="none"/>
        </w:rPr>
        <w:t>Telecommunications technology</w:t>
      </w:r>
      <w:r w:rsidRPr="00886608">
        <w:rPr>
          <w:rFonts w:ascii="Times New Roman" w:eastAsia="Times New Roman" w:hAnsi="Times New Roman" w:cs="Times New Roman"/>
          <w:kern w:val="0"/>
          <w:sz w:val="24"/>
          <w:szCs w:val="24"/>
          <w14:ligatures w14:val="none"/>
        </w:rPr>
        <w:t xml:space="preserve"> means the use of interactive multimedia communications equipment that includes, at a minimum, the use of audio and video equipment permitting two-way, real-time interactive communication between the patient and the distant site hospice physician or hospice nurse practitioner.</w:t>
      </w:r>
    </w:p>
    <w:p w14:paraId="5CA9C72B" w14:textId="77777777" w:rsidR="00886608" w:rsidRPr="00886608" w:rsidRDefault="00886608" w:rsidP="00886608">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(b) </w:t>
      </w:r>
      <w:r w:rsidRPr="00886608">
        <w:rPr>
          <w:rFonts w:ascii="Times New Roman" w:eastAsia="Times New Roman" w:hAnsi="Times New Roman" w:cs="Times New Roman"/>
          <w:b/>
          <w:bCs/>
          <w:i/>
          <w:iCs/>
          <w:kern w:val="0"/>
          <w:sz w:val="24"/>
          <w:szCs w:val="24"/>
          <w14:ligatures w14:val="none"/>
        </w:rPr>
        <w:t>Content of certification.</w:t>
      </w:r>
      <w:r w:rsidRPr="00886608">
        <w:rPr>
          <w:rFonts w:ascii="Times New Roman" w:eastAsia="Times New Roman" w:hAnsi="Times New Roman" w:cs="Times New Roman"/>
          <w:kern w:val="0"/>
          <w:sz w:val="24"/>
          <w:szCs w:val="24"/>
          <w14:ligatures w14:val="none"/>
        </w:rPr>
        <w:t xml:space="preserve"> Certification will be based on the physician's or medical director's clinical judgment regarding the normal course of the individual's illness. The certification must conform to the following requirements:</w:t>
      </w:r>
    </w:p>
    <w:p w14:paraId="784A9F99"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lastRenderedPageBreak/>
        <w:t>(1) The certification must specify that the individual's prognosis is for a life expectancy of 6 months or less if the terminal illness runs its normal course.</w:t>
      </w:r>
    </w:p>
    <w:p w14:paraId="61D9AEC2"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(2) Clinical information and other documentation that support the medical prognosis must accompany the certification and must be filed in the medical record with the written certification as set forth in </w:t>
      </w:r>
      <w:hyperlink r:id="rId8" w:anchor="p-418.22(d)(2)" w:history="1">
        <w:r w:rsidRPr="00886608">
          <w:rPr>
            <w:rFonts w:ascii="Times New Roman" w:eastAsia="Times New Roman" w:hAnsi="Times New Roman" w:cs="Times New Roman"/>
            <w:color w:val="0000FF"/>
            <w:kern w:val="0"/>
            <w:sz w:val="24"/>
            <w:szCs w:val="24"/>
            <w:u w:val="single"/>
            <w14:ligatures w14:val="none"/>
          </w:rPr>
          <w:t>paragraph (d)(2)</w:t>
        </w:r>
      </w:hyperlink>
      <w:r w:rsidRPr="00886608">
        <w:rPr>
          <w:rFonts w:ascii="Times New Roman" w:eastAsia="Times New Roman" w:hAnsi="Times New Roman" w:cs="Times New Roman"/>
          <w:kern w:val="0"/>
          <w:sz w:val="24"/>
          <w:szCs w:val="24"/>
          <w14:ligatures w14:val="none"/>
        </w:rPr>
        <w:t xml:space="preserve"> of this section. Initially, the clinical information may be provided verbally, and must be documented in the medical record and included as part of the hospice's eligibility assessment.</w:t>
      </w:r>
    </w:p>
    <w:p w14:paraId="7712442E"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(3) The physician must include a brief narrative explanation of the clinical findings that supports a life expectancy of 6 months or less as part of the certification and recertification forms, or as an addendum to the certification and recertification forms.</w:t>
      </w:r>
    </w:p>
    <w:p w14:paraId="12CE94A5"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 If the narrative is part of the certification or recertification form, then the narrative must be located immediately prior to the physician's signature.</w:t>
      </w:r>
    </w:p>
    <w:p w14:paraId="1A294234"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(ii) If the narrative exists as an addendum to the certification or recertification form, in addition to the physician's signature on the certification or recertification form, the physician must also sign immediately following the narrative in the addendum.</w:t>
      </w:r>
    </w:p>
    <w:p w14:paraId="3BDD8A93"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(iii) The narrative shall include a statement directly above the physician signature attesting that by signing, the physician confirms that he/she composed the narrative based on his/her review of the patient's medical record or, if applicable, his/her examination of the patient.</w:t>
      </w:r>
    </w:p>
    <w:p w14:paraId="3D1A0065"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(iv) The narrative must reflect the patient's individual clinical circumstances and cannot contain check boxes or standard language used for all patients.</w:t>
      </w:r>
    </w:p>
    <w:p w14:paraId="298DF81D"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(v) The narrative associated with the 3rd benefit period recertification and every subsequent recertification must include an explanation of why the clinical findings of the face-to-face encounter support a life expectancy of 6 months or less.</w:t>
      </w:r>
    </w:p>
    <w:p w14:paraId="467426B5"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(4) The physician or nurse practitioner who performs the face-to-face encounter with the patient described in </w:t>
      </w:r>
      <w:hyperlink r:id="rId9" w:anchor="p-418.22(a)(4)" w:history="1">
        <w:r w:rsidRPr="00886608">
          <w:rPr>
            <w:rFonts w:ascii="Times New Roman" w:eastAsia="Times New Roman" w:hAnsi="Times New Roman" w:cs="Times New Roman"/>
            <w:color w:val="0000FF"/>
            <w:kern w:val="0"/>
            <w:sz w:val="24"/>
            <w:szCs w:val="24"/>
            <w:u w:val="single"/>
            <w14:ligatures w14:val="none"/>
          </w:rPr>
          <w:t>paragraph (a)(4)</w:t>
        </w:r>
      </w:hyperlink>
      <w:r w:rsidRPr="00886608">
        <w:rPr>
          <w:rFonts w:ascii="Times New Roman" w:eastAsia="Times New Roman" w:hAnsi="Times New Roman" w:cs="Times New Roman"/>
          <w:kern w:val="0"/>
          <w:sz w:val="24"/>
          <w:szCs w:val="24"/>
          <w14:ligatures w14:val="none"/>
        </w:rPr>
        <w:t xml:space="preserve"> of this section must attest in writing that he or she had a face-to-face encounter with the patient, including the date of that visit. The attestation of the nurse practitioner or a non-certifying hospice physician shall state that the clinical findings of that visit were provided to the certifying physician for use in determining continued eligibility for hospice care.</w:t>
      </w:r>
    </w:p>
    <w:p w14:paraId="70FDD41A"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(5) All certifications and recertifications must be signed and dated by the physician(s</w:t>
      </w:r>
      <w:proofErr w:type="gramStart"/>
      <w:r w:rsidRPr="00886608">
        <w:rPr>
          <w:rFonts w:ascii="Times New Roman" w:eastAsia="Times New Roman" w:hAnsi="Times New Roman" w:cs="Times New Roman"/>
          <w:kern w:val="0"/>
          <w:sz w:val="24"/>
          <w:szCs w:val="24"/>
          <w14:ligatures w14:val="none"/>
        </w:rPr>
        <w:t>), and</w:t>
      </w:r>
      <w:proofErr w:type="gramEnd"/>
      <w:r w:rsidRPr="00886608">
        <w:rPr>
          <w:rFonts w:ascii="Times New Roman" w:eastAsia="Times New Roman" w:hAnsi="Times New Roman" w:cs="Times New Roman"/>
          <w:kern w:val="0"/>
          <w:sz w:val="24"/>
          <w:szCs w:val="24"/>
          <w14:ligatures w14:val="none"/>
        </w:rPr>
        <w:t xml:space="preserve"> must include the benefit period dates to which the certification or recertification applies.</w:t>
      </w:r>
    </w:p>
    <w:p w14:paraId="54BEEE4B" w14:textId="77777777" w:rsidR="00886608" w:rsidRPr="00886608" w:rsidRDefault="00886608" w:rsidP="00886608">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(c) </w:t>
      </w:r>
      <w:r w:rsidRPr="00886608">
        <w:rPr>
          <w:rFonts w:ascii="Times New Roman" w:eastAsia="Times New Roman" w:hAnsi="Times New Roman" w:cs="Times New Roman"/>
          <w:b/>
          <w:bCs/>
          <w:i/>
          <w:iCs/>
          <w:kern w:val="0"/>
          <w:sz w:val="24"/>
          <w:szCs w:val="24"/>
          <w14:ligatures w14:val="none"/>
        </w:rPr>
        <w:t>Sources of certification.</w:t>
      </w:r>
      <w:r w:rsidRPr="00886608">
        <w:rPr>
          <w:rFonts w:ascii="Times New Roman" w:eastAsia="Times New Roman" w:hAnsi="Times New Roman" w:cs="Times New Roman"/>
          <w:kern w:val="0"/>
          <w:sz w:val="24"/>
          <w:szCs w:val="24"/>
          <w14:ligatures w14:val="none"/>
        </w:rPr>
        <w:t xml:space="preserve"> </w:t>
      </w:r>
    </w:p>
    <w:p w14:paraId="3BC88F09"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(1) For the initial 90-day period, the hospice must obtain written certification statements (and oral certification statements if required under </w:t>
      </w:r>
      <w:hyperlink r:id="rId10" w:anchor="p-418.22(a)(3)" w:history="1">
        <w:r w:rsidRPr="00886608">
          <w:rPr>
            <w:rFonts w:ascii="Times New Roman" w:eastAsia="Times New Roman" w:hAnsi="Times New Roman" w:cs="Times New Roman"/>
            <w:color w:val="0000FF"/>
            <w:kern w:val="0"/>
            <w:sz w:val="24"/>
            <w:szCs w:val="24"/>
            <w:u w:val="single"/>
            <w14:ligatures w14:val="none"/>
          </w:rPr>
          <w:t>paragraph (a)(3)</w:t>
        </w:r>
      </w:hyperlink>
      <w:r w:rsidRPr="00886608">
        <w:rPr>
          <w:rFonts w:ascii="Times New Roman" w:eastAsia="Times New Roman" w:hAnsi="Times New Roman" w:cs="Times New Roman"/>
          <w:kern w:val="0"/>
          <w:sz w:val="24"/>
          <w:szCs w:val="24"/>
          <w14:ligatures w14:val="none"/>
        </w:rPr>
        <w:t xml:space="preserve"> of this section) from—</w:t>
      </w:r>
    </w:p>
    <w:p w14:paraId="1824134E"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lastRenderedPageBreak/>
        <w:t xml:space="preserve">(i) The medical director of the hospice, the physician designee (as defined in </w:t>
      </w:r>
      <w:hyperlink r:id="rId11" w:history="1">
        <w:r w:rsidRPr="00886608">
          <w:rPr>
            <w:rFonts w:ascii="Times New Roman" w:eastAsia="Times New Roman" w:hAnsi="Times New Roman" w:cs="Times New Roman"/>
            <w:color w:val="0000FF"/>
            <w:kern w:val="0"/>
            <w:sz w:val="24"/>
            <w:szCs w:val="24"/>
            <w:u w:val="single"/>
            <w14:ligatures w14:val="none"/>
          </w:rPr>
          <w:t>§ 418.3</w:t>
        </w:r>
      </w:hyperlink>
      <w:r w:rsidRPr="00886608">
        <w:rPr>
          <w:rFonts w:ascii="Times New Roman" w:eastAsia="Times New Roman" w:hAnsi="Times New Roman" w:cs="Times New Roman"/>
          <w:kern w:val="0"/>
          <w:sz w:val="24"/>
          <w:szCs w:val="24"/>
          <w14:ligatures w14:val="none"/>
        </w:rPr>
        <w:t>), or the physician member of the hospice interdisciplinary group; and</w:t>
      </w:r>
    </w:p>
    <w:p w14:paraId="3B05524E" w14:textId="77777777" w:rsidR="00886608" w:rsidRPr="00886608" w:rsidRDefault="00886608" w:rsidP="00886608">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(ii) The individual's attending </w:t>
      </w:r>
      <w:proofErr w:type="gramStart"/>
      <w:r w:rsidRPr="00886608">
        <w:rPr>
          <w:rFonts w:ascii="Times New Roman" w:eastAsia="Times New Roman" w:hAnsi="Times New Roman" w:cs="Times New Roman"/>
          <w:kern w:val="0"/>
          <w:sz w:val="24"/>
          <w:szCs w:val="24"/>
          <w14:ligatures w14:val="none"/>
        </w:rPr>
        <w:t>physician, if</w:t>
      </w:r>
      <w:proofErr w:type="gramEnd"/>
      <w:r w:rsidRPr="00886608">
        <w:rPr>
          <w:rFonts w:ascii="Times New Roman" w:eastAsia="Times New Roman" w:hAnsi="Times New Roman" w:cs="Times New Roman"/>
          <w:kern w:val="0"/>
          <w:sz w:val="24"/>
          <w:szCs w:val="24"/>
          <w14:ligatures w14:val="none"/>
        </w:rPr>
        <w:t xml:space="preserve"> the individual has an attending physician. The attending physician must meet the definition of physician specified in </w:t>
      </w:r>
      <w:hyperlink r:id="rId12" w:history="1">
        <w:r w:rsidRPr="00886608">
          <w:rPr>
            <w:rFonts w:ascii="Times New Roman" w:eastAsia="Times New Roman" w:hAnsi="Times New Roman" w:cs="Times New Roman"/>
            <w:color w:val="0000FF"/>
            <w:kern w:val="0"/>
            <w:sz w:val="24"/>
            <w:szCs w:val="24"/>
            <w:u w:val="single"/>
            <w14:ligatures w14:val="none"/>
          </w:rPr>
          <w:t>§ 410.20 of this subchapter</w:t>
        </w:r>
      </w:hyperlink>
      <w:r w:rsidRPr="00886608">
        <w:rPr>
          <w:rFonts w:ascii="Times New Roman" w:eastAsia="Times New Roman" w:hAnsi="Times New Roman" w:cs="Times New Roman"/>
          <w:kern w:val="0"/>
          <w:sz w:val="24"/>
          <w:szCs w:val="24"/>
          <w14:ligatures w14:val="none"/>
        </w:rPr>
        <w:t>.</w:t>
      </w:r>
    </w:p>
    <w:p w14:paraId="5633524D"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(2) For subsequent periods, the only requirement is certification by one of the physicians listed in </w:t>
      </w:r>
      <w:hyperlink r:id="rId13" w:anchor="p-418.22(c)(1)(i)" w:history="1">
        <w:r w:rsidRPr="00886608">
          <w:rPr>
            <w:rFonts w:ascii="Times New Roman" w:eastAsia="Times New Roman" w:hAnsi="Times New Roman" w:cs="Times New Roman"/>
            <w:color w:val="0000FF"/>
            <w:kern w:val="0"/>
            <w:sz w:val="24"/>
            <w:szCs w:val="24"/>
            <w:u w:val="single"/>
            <w14:ligatures w14:val="none"/>
          </w:rPr>
          <w:t>paragraph (c)(1)(i)</w:t>
        </w:r>
      </w:hyperlink>
      <w:r w:rsidRPr="00886608">
        <w:rPr>
          <w:rFonts w:ascii="Times New Roman" w:eastAsia="Times New Roman" w:hAnsi="Times New Roman" w:cs="Times New Roman"/>
          <w:kern w:val="0"/>
          <w:sz w:val="24"/>
          <w:szCs w:val="24"/>
          <w14:ligatures w14:val="none"/>
        </w:rPr>
        <w:t xml:space="preserve"> of this section.</w:t>
      </w:r>
    </w:p>
    <w:p w14:paraId="09E93742" w14:textId="77777777" w:rsidR="00886608" w:rsidRPr="00886608" w:rsidRDefault="00886608" w:rsidP="00886608">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 xml:space="preserve">(d) </w:t>
      </w:r>
      <w:r w:rsidRPr="00886608">
        <w:rPr>
          <w:rFonts w:ascii="Times New Roman" w:eastAsia="Times New Roman" w:hAnsi="Times New Roman" w:cs="Times New Roman"/>
          <w:b/>
          <w:bCs/>
          <w:i/>
          <w:iCs/>
          <w:kern w:val="0"/>
          <w:sz w:val="24"/>
          <w:szCs w:val="24"/>
          <w14:ligatures w14:val="none"/>
        </w:rPr>
        <w:t>Maintenance of records.</w:t>
      </w:r>
      <w:r w:rsidRPr="00886608">
        <w:rPr>
          <w:rFonts w:ascii="Times New Roman" w:eastAsia="Times New Roman" w:hAnsi="Times New Roman" w:cs="Times New Roman"/>
          <w:kern w:val="0"/>
          <w:sz w:val="24"/>
          <w:szCs w:val="24"/>
          <w14:ligatures w14:val="none"/>
        </w:rPr>
        <w:t xml:space="preserve"> Hospice staff must—</w:t>
      </w:r>
    </w:p>
    <w:p w14:paraId="52F985F0"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(1) Make an appropriate entry in the patient's medical record as soon as they receive an oral certification; and</w:t>
      </w:r>
    </w:p>
    <w:p w14:paraId="49943369" w14:textId="77777777" w:rsidR="00886608" w:rsidRPr="00886608" w:rsidRDefault="00886608" w:rsidP="0088660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(2) File written certifications in the medical record.</w:t>
      </w:r>
    </w:p>
    <w:p w14:paraId="55851A36" w14:textId="77777777" w:rsidR="00886608" w:rsidRPr="00886608" w:rsidRDefault="00886608" w:rsidP="008866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608">
        <w:rPr>
          <w:rFonts w:ascii="Times New Roman" w:eastAsia="Times New Roman" w:hAnsi="Times New Roman" w:cs="Times New Roman"/>
          <w:kern w:val="0"/>
          <w:sz w:val="24"/>
          <w:szCs w:val="24"/>
          <w14:ligatures w14:val="none"/>
        </w:rPr>
        <w:t>[</w:t>
      </w:r>
      <w:hyperlink r:id="rId14" w:history="1">
        <w:r w:rsidRPr="00886608">
          <w:rPr>
            <w:rFonts w:ascii="Times New Roman" w:eastAsia="Times New Roman" w:hAnsi="Times New Roman" w:cs="Times New Roman"/>
            <w:color w:val="0000FF"/>
            <w:kern w:val="0"/>
            <w:sz w:val="24"/>
            <w:szCs w:val="24"/>
            <w:u w:val="single"/>
            <w14:ligatures w14:val="none"/>
          </w:rPr>
          <w:t>55 FR 50834</w:t>
        </w:r>
      </w:hyperlink>
      <w:r w:rsidRPr="00886608">
        <w:rPr>
          <w:rFonts w:ascii="Times New Roman" w:eastAsia="Times New Roman" w:hAnsi="Times New Roman" w:cs="Times New Roman"/>
          <w:kern w:val="0"/>
          <w:sz w:val="24"/>
          <w:szCs w:val="24"/>
          <w14:ligatures w14:val="none"/>
        </w:rPr>
        <w:t xml:space="preserve">, Dec. 11, 1990, as amended at </w:t>
      </w:r>
      <w:hyperlink r:id="rId15" w:history="1">
        <w:r w:rsidRPr="00886608">
          <w:rPr>
            <w:rFonts w:ascii="Times New Roman" w:eastAsia="Times New Roman" w:hAnsi="Times New Roman" w:cs="Times New Roman"/>
            <w:color w:val="0000FF"/>
            <w:kern w:val="0"/>
            <w:sz w:val="24"/>
            <w:szCs w:val="24"/>
            <w:u w:val="single"/>
            <w14:ligatures w14:val="none"/>
          </w:rPr>
          <w:t>57 FR 36017</w:t>
        </w:r>
      </w:hyperlink>
      <w:r w:rsidRPr="00886608">
        <w:rPr>
          <w:rFonts w:ascii="Times New Roman" w:eastAsia="Times New Roman" w:hAnsi="Times New Roman" w:cs="Times New Roman"/>
          <w:kern w:val="0"/>
          <w:sz w:val="24"/>
          <w:szCs w:val="24"/>
          <w14:ligatures w14:val="none"/>
        </w:rPr>
        <w:t xml:space="preserve">, Aug. 12, 1992; </w:t>
      </w:r>
      <w:hyperlink r:id="rId16" w:history="1">
        <w:r w:rsidRPr="00886608">
          <w:rPr>
            <w:rFonts w:ascii="Times New Roman" w:eastAsia="Times New Roman" w:hAnsi="Times New Roman" w:cs="Times New Roman"/>
            <w:color w:val="0000FF"/>
            <w:kern w:val="0"/>
            <w:sz w:val="24"/>
            <w:szCs w:val="24"/>
            <w:u w:val="single"/>
            <w14:ligatures w14:val="none"/>
          </w:rPr>
          <w:t>70 FR 45144</w:t>
        </w:r>
      </w:hyperlink>
      <w:r w:rsidRPr="00886608">
        <w:rPr>
          <w:rFonts w:ascii="Times New Roman" w:eastAsia="Times New Roman" w:hAnsi="Times New Roman" w:cs="Times New Roman"/>
          <w:kern w:val="0"/>
          <w:sz w:val="24"/>
          <w:szCs w:val="24"/>
          <w14:ligatures w14:val="none"/>
        </w:rPr>
        <w:t xml:space="preserve">, Aug. 4, 2005; </w:t>
      </w:r>
      <w:hyperlink r:id="rId17" w:history="1">
        <w:r w:rsidRPr="00886608">
          <w:rPr>
            <w:rFonts w:ascii="Times New Roman" w:eastAsia="Times New Roman" w:hAnsi="Times New Roman" w:cs="Times New Roman"/>
            <w:color w:val="0000FF"/>
            <w:kern w:val="0"/>
            <w:sz w:val="24"/>
            <w:szCs w:val="24"/>
            <w:u w:val="single"/>
            <w14:ligatures w14:val="none"/>
          </w:rPr>
          <w:t>70 FR 70547</w:t>
        </w:r>
      </w:hyperlink>
      <w:r w:rsidRPr="00886608">
        <w:rPr>
          <w:rFonts w:ascii="Times New Roman" w:eastAsia="Times New Roman" w:hAnsi="Times New Roman" w:cs="Times New Roman"/>
          <w:kern w:val="0"/>
          <w:sz w:val="24"/>
          <w:szCs w:val="24"/>
          <w14:ligatures w14:val="none"/>
        </w:rPr>
        <w:t xml:space="preserve">, Nov. 22, 2005; </w:t>
      </w:r>
      <w:hyperlink r:id="rId18" w:history="1">
        <w:r w:rsidRPr="00886608">
          <w:rPr>
            <w:rFonts w:ascii="Times New Roman" w:eastAsia="Times New Roman" w:hAnsi="Times New Roman" w:cs="Times New Roman"/>
            <w:color w:val="0000FF"/>
            <w:kern w:val="0"/>
            <w:sz w:val="24"/>
            <w:szCs w:val="24"/>
            <w:u w:val="single"/>
            <w14:ligatures w14:val="none"/>
          </w:rPr>
          <w:t>74 FR 39413</w:t>
        </w:r>
      </w:hyperlink>
      <w:r w:rsidRPr="00886608">
        <w:rPr>
          <w:rFonts w:ascii="Times New Roman" w:eastAsia="Times New Roman" w:hAnsi="Times New Roman" w:cs="Times New Roman"/>
          <w:kern w:val="0"/>
          <w:sz w:val="24"/>
          <w:szCs w:val="24"/>
          <w14:ligatures w14:val="none"/>
        </w:rPr>
        <w:t xml:space="preserve">, Aug. 6, 2009; </w:t>
      </w:r>
      <w:hyperlink r:id="rId19" w:history="1">
        <w:r w:rsidRPr="00886608">
          <w:rPr>
            <w:rFonts w:ascii="Times New Roman" w:eastAsia="Times New Roman" w:hAnsi="Times New Roman" w:cs="Times New Roman"/>
            <w:color w:val="0000FF"/>
            <w:kern w:val="0"/>
            <w:sz w:val="24"/>
            <w:szCs w:val="24"/>
            <w:u w:val="single"/>
            <w14:ligatures w14:val="none"/>
          </w:rPr>
          <w:t>75 FR 70463</w:t>
        </w:r>
      </w:hyperlink>
      <w:r w:rsidRPr="00886608">
        <w:rPr>
          <w:rFonts w:ascii="Times New Roman" w:eastAsia="Times New Roman" w:hAnsi="Times New Roman" w:cs="Times New Roman"/>
          <w:kern w:val="0"/>
          <w:sz w:val="24"/>
          <w:szCs w:val="24"/>
          <w14:ligatures w14:val="none"/>
        </w:rPr>
        <w:t xml:space="preserve">, Nov. 17, 2010; </w:t>
      </w:r>
      <w:hyperlink r:id="rId20" w:history="1">
        <w:r w:rsidRPr="00886608">
          <w:rPr>
            <w:rFonts w:ascii="Times New Roman" w:eastAsia="Times New Roman" w:hAnsi="Times New Roman" w:cs="Times New Roman"/>
            <w:color w:val="0000FF"/>
            <w:kern w:val="0"/>
            <w:sz w:val="24"/>
            <w:szCs w:val="24"/>
            <w:u w:val="single"/>
            <w14:ligatures w14:val="none"/>
          </w:rPr>
          <w:t>76 FR 47331</w:t>
        </w:r>
      </w:hyperlink>
      <w:r w:rsidRPr="00886608">
        <w:rPr>
          <w:rFonts w:ascii="Times New Roman" w:eastAsia="Times New Roman" w:hAnsi="Times New Roman" w:cs="Times New Roman"/>
          <w:kern w:val="0"/>
          <w:sz w:val="24"/>
          <w:szCs w:val="24"/>
          <w14:ligatures w14:val="none"/>
        </w:rPr>
        <w:t xml:space="preserve">, Aug. 4, 2011; </w:t>
      </w:r>
      <w:hyperlink r:id="rId21" w:history="1">
        <w:r w:rsidRPr="00886608">
          <w:rPr>
            <w:rFonts w:ascii="Times New Roman" w:eastAsia="Times New Roman" w:hAnsi="Times New Roman" w:cs="Times New Roman"/>
            <w:color w:val="0000FF"/>
            <w:kern w:val="0"/>
            <w:sz w:val="24"/>
            <w:szCs w:val="24"/>
            <w:u w:val="single"/>
            <w14:ligatures w14:val="none"/>
          </w:rPr>
          <w:t>85 FR 19289</w:t>
        </w:r>
      </w:hyperlink>
      <w:r w:rsidRPr="00886608">
        <w:rPr>
          <w:rFonts w:ascii="Times New Roman" w:eastAsia="Times New Roman" w:hAnsi="Times New Roman" w:cs="Times New Roman"/>
          <w:kern w:val="0"/>
          <w:sz w:val="24"/>
          <w:szCs w:val="24"/>
          <w14:ligatures w14:val="none"/>
        </w:rPr>
        <w:t xml:space="preserve">, Apr. 6, 2020; </w:t>
      </w:r>
      <w:hyperlink r:id="rId22" w:history="1">
        <w:r w:rsidRPr="00886608">
          <w:rPr>
            <w:rFonts w:ascii="Times New Roman" w:eastAsia="Times New Roman" w:hAnsi="Times New Roman" w:cs="Times New Roman"/>
            <w:color w:val="0000FF"/>
            <w:kern w:val="0"/>
            <w:sz w:val="24"/>
            <w:szCs w:val="24"/>
            <w:u w:val="single"/>
            <w14:ligatures w14:val="none"/>
          </w:rPr>
          <w:t>88 FR 51199</w:t>
        </w:r>
      </w:hyperlink>
      <w:r w:rsidRPr="00886608">
        <w:rPr>
          <w:rFonts w:ascii="Times New Roman" w:eastAsia="Times New Roman" w:hAnsi="Times New Roman" w:cs="Times New Roman"/>
          <w:kern w:val="0"/>
          <w:sz w:val="24"/>
          <w:szCs w:val="24"/>
          <w14:ligatures w14:val="none"/>
        </w:rPr>
        <w:t xml:space="preserve">, Aug. 2, 2023; </w:t>
      </w:r>
      <w:hyperlink r:id="rId23" w:history="1">
        <w:r w:rsidRPr="00886608">
          <w:rPr>
            <w:rFonts w:ascii="Times New Roman" w:eastAsia="Times New Roman" w:hAnsi="Times New Roman" w:cs="Times New Roman"/>
            <w:color w:val="0000FF"/>
            <w:kern w:val="0"/>
            <w:sz w:val="24"/>
            <w:szCs w:val="24"/>
            <w:u w:val="single"/>
            <w14:ligatures w14:val="none"/>
          </w:rPr>
          <w:t>89 FR 64272</w:t>
        </w:r>
      </w:hyperlink>
      <w:r w:rsidRPr="00886608">
        <w:rPr>
          <w:rFonts w:ascii="Times New Roman" w:eastAsia="Times New Roman" w:hAnsi="Times New Roman" w:cs="Times New Roman"/>
          <w:kern w:val="0"/>
          <w:sz w:val="24"/>
          <w:szCs w:val="24"/>
          <w14:ligatures w14:val="none"/>
        </w:rPr>
        <w:t>, Aug. 6, 2024]</w:t>
      </w:r>
    </w:p>
    <w:p w14:paraId="0BD1CED3" w14:textId="77777777" w:rsidR="00FD11AE" w:rsidRDefault="00FD11AE"/>
    <w:sectPr w:rsidR="00FD1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08"/>
    <w:rsid w:val="003A1879"/>
    <w:rsid w:val="00886608"/>
    <w:rsid w:val="00FD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AD15"/>
  <w15:chartTrackingRefBased/>
  <w15:docId w15:val="{BB595D60-0247-4692-A19A-B14F11DA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7850">
      <w:bodyDiv w:val="1"/>
      <w:marLeft w:val="0"/>
      <w:marRight w:val="0"/>
      <w:marTop w:val="0"/>
      <w:marBottom w:val="0"/>
      <w:divBdr>
        <w:top w:val="none" w:sz="0" w:space="0" w:color="auto"/>
        <w:left w:val="none" w:sz="0" w:space="0" w:color="auto"/>
        <w:bottom w:val="none" w:sz="0" w:space="0" w:color="auto"/>
        <w:right w:val="none" w:sz="0" w:space="0" w:color="auto"/>
      </w:divBdr>
      <w:divsChild>
        <w:div w:id="1095400023">
          <w:marLeft w:val="0"/>
          <w:marRight w:val="0"/>
          <w:marTop w:val="0"/>
          <w:marBottom w:val="0"/>
          <w:divBdr>
            <w:top w:val="none" w:sz="0" w:space="0" w:color="auto"/>
            <w:left w:val="none" w:sz="0" w:space="0" w:color="auto"/>
            <w:bottom w:val="none" w:sz="0" w:space="0" w:color="auto"/>
            <w:right w:val="none" w:sz="0" w:space="0" w:color="auto"/>
          </w:divBdr>
          <w:divsChild>
            <w:div w:id="1111124440">
              <w:marLeft w:val="0"/>
              <w:marRight w:val="0"/>
              <w:marTop w:val="0"/>
              <w:marBottom w:val="0"/>
              <w:divBdr>
                <w:top w:val="none" w:sz="0" w:space="0" w:color="auto"/>
                <w:left w:val="none" w:sz="0" w:space="0" w:color="auto"/>
                <w:bottom w:val="none" w:sz="0" w:space="0" w:color="auto"/>
                <w:right w:val="none" w:sz="0" w:space="0" w:color="auto"/>
              </w:divBdr>
            </w:div>
            <w:div w:id="635137569">
              <w:marLeft w:val="0"/>
              <w:marRight w:val="0"/>
              <w:marTop w:val="0"/>
              <w:marBottom w:val="0"/>
              <w:divBdr>
                <w:top w:val="none" w:sz="0" w:space="0" w:color="auto"/>
                <w:left w:val="none" w:sz="0" w:space="0" w:color="auto"/>
                <w:bottom w:val="none" w:sz="0" w:space="0" w:color="auto"/>
                <w:right w:val="none" w:sz="0" w:space="0" w:color="auto"/>
              </w:divBdr>
            </w:div>
            <w:div w:id="728192732">
              <w:marLeft w:val="0"/>
              <w:marRight w:val="0"/>
              <w:marTop w:val="0"/>
              <w:marBottom w:val="0"/>
              <w:divBdr>
                <w:top w:val="none" w:sz="0" w:space="0" w:color="auto"/>
                <w:left w:val="none" w:sz="0" w:space="0" w:color="auto"/>
                <w:bottom w:val="none" w:sz="0" w:space="0" w:color="auto"/>
                <w:right w:val="none" w:sz="0" w:space="0" w:color="auto"/>
              </w:divBdr>
              <w:divsChild>
                <w:div w:id="19090782">
                  <w:marLeft w:val="0"/>
                  <w:marRight w:val="0"/>
                  <w:marTop w:val="0"/>
                  <w:marBottom w:val="0"/>
                  <w:divBdr>
                    <w:top w:val="none" w:sz="0" w:space="0" w:color="auto"/>
                    <w:left w:val="none" w:sz="0" w:space="0" w:color="auto"/>
                    <w:bottom w:val="none" w:sz="0" w:space="0" w:color="auto"/>
                    <w:right w:val="none" w:sz="0" w:space="0" w:color="auto"/>
                  </w:divBdr>
                </w:div>
                <w:div w:id="969244166">
                  <w:marLeft w:val="0"/>
                  <w:marRight w:val="0"/>
                  <w:marTop w:val="0"/>
                  <w:marBottom w:val="0"/>
                  <w:divBdr>
                    <w:top w:val="none" w:sz="0" w:space="0" w:color="auto"/>
                    <w:left w:val="none" w:sz="0" w:space="0" w:color="auto"/>
                    <w:bottom w:val="none" w:sz="0" w:space="0" w:color="auto"/>
                    <w:right w:val="none" w:sz="0" w:space="0" w:color="auto"/>
                  </w:divBdr>
                </w:div>
                <w:div w:id="1450709575">
                  <w:marLeft w:val="0"/>
                  <w:marRight w:val="0"/>
                  <w:marTop w:val="0"/>
                  <w:marBottom w:val="0"/>
                  <w:divBdr>
                    <w:top w:val="none" w:sz="0" w:space="0" w:color="auto"/>
                    <w:left w:val="none" w:sz="0" w:space="0" w:color="auto"/>
                    <w:bottom w:val="none" w:sz="0" w:space="0" w:color="auto"/>
                    <w:right w:val="none" w:sz="0" w:space="0" w:color="auto"/>
                  </w:divBdr>
                </w:div>
              </w:divsChild>
            </w:div>
            <w:div w:id="1331562898">
              <w:marLeft w:val="0"/>
              <w:marRight w:val="0"/>
              <w:marTop w:val="0"/>
              <w:marBottom w:val="0"/>
              <w:divBdr>
                <w:top w:val="none" w:sz="0" w:space="0" w:color="auto"/>
                <w:left w:val="none" w:sz="0" w:space="0" w:color="auto"/>
                <w:bottom w:val="none" w:sz="0" w:space="0" w:color="auto"/>
                <w:right w:val="none" w:sz="0" w:space="0" w:color="auto"/>
              </w:divBdr>
              <w:divsChild>
                <w:div w:id="1372880217">
                  <w:marLeft w:val="0"/>
                  <w:marRight w:val="0"/>
                  <w:marTop w:val="0"/>
                  <w:marBottom w:val="0"/>
                  <w:divBdr>
                    <w:top w:val="none" w:sz="0" w:space="0" w:color="auto"/>
                    <w:left w:val="none" w:sz="0" w:space="0" w:color="auto"/>
                    <w:bottom w:val="none" w:sz="0" w:space="0" w:color="auto"/>
                    <w:right w:val="none" w:sz="0" w:space="0" w:color="auto"/>
                  </w:divBdr>
                </w:div>
                <w:div w:id="20457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2883">
          <w:marLeft w:val="0"/>
          <w:marRight w:val="0"/>
          <w:marTop w:val="0"/>
          <w:marBottom w:val="0"/>
          <w:divBdr>
            <w:top w:val="none" w:sz="0" w:space="0" w:color="auto"/>
            <w:left w:val="none" w:sz="0" w:space="0" w:color="auto"/>
            <w:bottom w:val="none" w:sz="0" w:space="0" w:color="auto"/>
            <w:right w:val="none" w:sz="0" w:space="0" w:color="auto"/>
          </w:divBdr>
          <w:divsChild>
            <w:div w:id="412241669">
              <w:marLeft w:val="0"/>
              <w:marRight w:val="0"/>
              <w:marTop w:val="0"/>
              <w:marBottom w:val="0"/>
              <w:divBdr>
                <w:top w:val="none" w:sz="0" w:space="0" w:color="auto"/>
                <w:left w:val="none" w:sz="0" w:space="0" w:color="auto"/>
                <w:bottom w:val="none" w:sz="0" w:space="0" w:color="auto"/>
                <w:right w:val="none" w:sz="0" w:space="0" w:color="auto"/>
              </w:divBdr>
            </w:div>
            <w:div w:id="432284918">
              <w:marLeft w:val="0"/>
              <w:marRight w:val="0"/>
              <w:marTop w:val="0"/>
              <w:marBottom w:val="0"/>
              <w:divBdr>
                <w:top w:val="none" w:sz="0" w:space="0" w:color="auto"/>
                <w:left w:val="none" w:sz="0" w:space="0" w:color="auto"/>
                <w:bottom w:val="none" w:sz="0" w:space="0" w:color="auto"/>
                <w:right w:val="none" w:sz="0" w:space="0" w:color="auto"/>
              </w:divBdr>
            </w:div>
            <w:div w:id="1324510596">
              <w:marLeft w:val="0"/>
              <w:marRight w:val="0"/>
              <w:marTop w:val="0"/>
              <w:marBottom w:val="0"/>
              <w:divBdr>
                <w:top w:val="none" w:sz="0" w:space="0" w:color="auto"/>
                <w:left w:val="none" w:sz="0" w:space="0" w:color="auto"/>
                <w:bottom w:val="none" w:sz="0" w:space="0" w:color="auto"/>
                <w:right w:val="none" w:sz="0" w:space="0" w:color="auto"/>
              </w:divBdr>
              <w:divsChild>
                <w:div w:id="1956446876">
                  <w:marLeft w:val="0"/>
                  <w:marRight w:val="0"/>
                  <w:marTop w:val="0"/>
                  <w:marBottom w:val="0"/>
                  <w:divBdr>
                    <w:top w:val="none" w:sz="0" w:space="0" w:color="auto"/>
                    <w:left w:val="none" w:sz="0" w:space="0" w:color="auto"/>
                    <w:bottom w:val="none" w:sz="0" w:space="0" w:color="auto"/>
                    <w:right w:val="none" w:sz="0" w:space="0" w:color="auto"/>
                  </w:divBdr>
                </w:div>
                <w:div w:id="888613900">
                  <w:marLeft w:val="0"/>
                  <w:marRight w:val="0"/>
                  <w:marTop w:val="0"/>
                  <w:marBottom w:val="0"/>
                  <w:divBdr>
                    <w:top w:val="none" w:sz="0" w:space="0" w:color="auto"/>
                    <w:left w:val="none" w:sz="0" w:space="0" w:color="auto"/>
                    <w:bottom w:val="none" w:sz="0" w:space="0" w:color="auto"/>
                    <w:right w:val="none" w:sz="0" w:space="0" w:color="auto"/>
                  </w:divBdr>
                </w:div>
                <w:div w:id="1731729928">
                  <w:marLeft w:val="0"/>
                  <w:marRight w:val="0"/>
                  <w:marTop w:val="0"/>
                  <w:marBottom w:val="0"/>
                  <w:divBdr>
                    <w:top w:val="none" w:sz="0" w:space="0" w:color="auto"/>
                    <w:left w:val="none" w:sz="0" w:space="0" w:color="auto"/>
                    <w:bottom w:val="none" w:sz="0" w:space="0" w:color="auto"/>
                    <w:right w:val="none" w:sz="0" w:space="0" w:color="auto"/>
                  </w:divBdr>
                </w:div>
                <w:div w:id="750738285">
                  <w:marLeft w:val="0"/>
                  <w:marRight w:val="0"/>
                  <w:marTop w:val="0"/>
                  <w:marBottom w:val="0"/>
                  <w:divBdr>
                    <w:top w:val="none" w:sz="0" w:space="0" w:color="auto"/>
                    <w:left w:val="none" w:sz="0" w:space="0" w:color="auto"/>
                    <w:bottom w:val="none" w:sz="0" w:space="0" w:color="auto"/>
                    <w:right w:val="none" w:sz="0" w:space="0" w:color="auto"/>
                  </w:divBdr>
                </w:div>
                <w:div w:id="6106274">
                  <w:marLeft w:val="0"/>
                  <w:marRight w:val="0"/>
                  <w:marTop w:val="0"/>
                  <w:marBottom w:val="0"/>
                  <w:divBdr>
                    <w:top w:val="none" w:sz="0" w:space="0" w:color="auto"/>
                    <w:left w:val="none" w:sz="0" w:space="0" w:color="auto"/>
                    <w:bottom w:val="none" w:sz="0" w:space="0" w:color="auto"/>
                    <w:right w:val="none" w:sz="0" w:space="0" w:color="auto"/>
                  </w:divBdr>
                </w:div>
              </w:divsChild>
            </w:div>
            <w:div w:id="213563496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sChild>
        </w:div>
        <w:div w:id="1621955887">
          <w:marLeft w:val="0"/>
          <w:marRight w:val="0"/>
          <w:marTop w:val="0"/>
          <w:marBottom w:val="0"/>
          <w:divBdr>
            <w:top w:val="none" w:sz="0" w:space="0" w:color="auto"/>
            <w:left w:val="none" w:sz="0" w:space="0" w:color="auto"/>
            <w:bottom w:val="none" w:sz="0" w:space="0" w:color="auto"/>
            <w:right w:val="none" w:sz="0" w:space="0" w:color="auto"/>
          </w:divBdr>
          <w:divsChild>
            <w:div w:id="998848797">
              <w:marLeft w:val="0"/>
              <w:marRight w:val="0"/>
              <w:marTop w:val="0"/>
              <w:marBottom w:val="0"/>
              <w:divBdr>
                <w:top w:val="none" w:sz="0" w:space="0" w:color="auto"/>
                <w:left w:val="none" w:sz="0" w:space="0" w:color="auto"/>
                <w:bottom w:val="none" w:sz="0" w:space="0" w:color="auto"/>
                <w:right w:val="none" w:sz="0" w:space="0" w:color="auto"/>
              </w:divBdr>
              <w:divsChild>
                <w:div w:id="1435982817">
                  <w:marLeft w:val="0"/>
                  <w:marRight w:val="0"/>
                  <w:marTop w:val="0"/>
                  <w:marBottom w:val="0"/>
                  <w:divBdr>
                    <w:top w:val="none" w:sz="0" w:space="0" w:color="auto"/>
                    <w:left w:val="none" w:sz="0" w:space="0" w:color="auto"/>
                    <w:bottom w:val="none" w:sz="0" w:space="0" w:color="auto"/>
                    <w:right w:val="none" w:sz="0" w:space="0" w:color="auto"/>
                  </w:divBdr>
                </w:div>
                <w:div w:id="2008169357">
                  <w:marLeft w:val="0"/>
                  <w:marRight w:val="0"/>
                  <w:marTop w:val="0"/>
                  <w:marBottom w:val="0"/>
                  <w:divBdr>
                    <w:top w:val="none" w:sz="0" w:space="0" w:color="auto"/>
                    <w:left w:val="none" w:sz="0" w:space="0" w:color="auto"/>
                    <w:bottom w:val="none" w:sz="0" w:space="0" w:color="auto"/>
                    <w:right w:val="none" w:sz="0" w:space="0" w:color="auto"/>
                  </w:divBdr>
                </w:div>
              </w:divsChild>
            </w:div>
            <w:div w:id="697972409">
              <w:marLeft w:val="0"/>
              <w:marRight w:val="0"/>
              <w:marTop w:val="0"/>
              <w:marBottom w:val="0"/>
              <w:divBdr>
                <w:top w:val="none" w:sz="0" w:space="0" w:color="auto"/>
                <w:left w:val="none" w:sz="0" w:space="0" w:color="auto"/>
                <w:bottom w:val="none" w:sz="0" w:space="0" w:color="auto"/>
                <w:right w:val="none" w:sz="0" w:space="0" w:color="auto"/>
              </w:divBdr>
            </w:div>
          </w:divsChild>
        </w:div>
        <w:div w:id="1162894828">
          <w:marLeft w:val="0"/>
          <w:marRight w:val="0"/>
          <w:marTop w:val="0"/>
          <w:marBottom w:val="0"/>
          <w:divBdr>
            <w:top w:val="none" w:sz="0" w:space="0" w:color="auto"/>
            <w:left w:val="none" w:sz="0" w:space="0" w:color="auto"/>
            <w:bottom w:val="none" w:sz="0" w:space="0" w:color="auto"/>
            <w:right w:val="none" w:sz="0" w:space="0" w:color="auto"/>
          </w:divBdr>
          <w:divsChild>
            <w:div w:id="730156888">
              <w:marLeft w:val="0"/>
              <w:marRight w:val="0"/>
              <w:marTop w:val="0"/>
              <w:marBottom w:val="0"/>
              <w:divBdr>
                <w:top w:val="none" w:sz="0" w:space="0" w:color="auto"/>
                <w:left w:val="none" w:sz="0" w:space="0" w:color="auto"/>
                <w:bottom w:val="none" w:sz="0" w:space="0" w:color="auto"/>
                <w:right w:val="none" w:sz="0" w:space="0" w:color="auto"/>
              </w:divBdr>
            </w:div>
            <w:div w:id="1071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2/section-418.22" TargetMode="External"/><Relationship Id="rId13" Type="http://schemas.openxmlformats.org/officeDocument/2006/relationships/hyperlink" Target="https://www.ecfr.gov/current/title-42/section-418.22" TargetMode="External"/><Relationship Id="rId18" Type="http://schemas.openxmlformats.org/officeDocument/2006/relationships/hyperlink" Target="https://www.federalregister.gov/citation/74-FR-39413" TargetMode="External"/><Relationship Id="rId3" Type="http://schemas.openxmlformats.org/officeDocument/2006/relationships/webSettings" Target="webSettings.xml"/><Relationship Id="rId21" Type="http://schemas.openxmlformats.org/officeDocument/2006/relationships/hyperlink" Target="https://www.federalregister.gov/citation/85-FR-19289" TargetMode="External"/><Relationship Id="rId7" Type="http://schemas.openxmlformats.org/officeDocument/2006/relationships/hyperlink" Target="https://www.ecfr.gov/current/title-42/section-400.200" TargetMode="External"/><Relationship Id="rId12" Type="http://schemas.openxmlformats.org/officeDocument/2006/relationships/hyperlink" Target="https://www.ecfr.gov/current/title-42/section-410.20" TargetMode="External"/><Relationship Id="rId17" Type="http://schemas.openxmlformats.org/officeDocument/2006/relationships/hyperlink" Target="https://www.federalregister.gov/citation/70-FR-7054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ederalregister.gov/citation/70-FR-45144" TargetMode="External"/><Relationship Id="rId20" Type="http://schemas.openxmlformats.org/officeDocument/2006/relationships/hyperlink" Target="https://www.federalregister.gov/citation/76-FR-47331" TargetMode="External"/><Relationship Id="rId1" Type="http://schemas.openxmlformats.org/officeDocument/2006/relationships/styles" Target="styles.xml"/><Relationship Id="rId6" Type="http://schemas.openxmlformats.org/officeDocument/2006/relationships/hyperlink" Target="https://www.ecfr.gov/current/title-42/section-418.22" TargetMode="External"/><Relationship Id="rId11" Type="http://schemas.openxmlformats.org/officeDocument/2006/relationships/hyperlink" Target="https://www.ecfr.gov/current/title-42/section-418.3" TargetMode="External"/><Relationship Id="rId24" Type="http://schemas.openxmlformats.org/officeDocument/2006/relationships/fontTable" Target="fontTable.xml"/><Relationship Id="rId5" Type="http://schemas.openxmlformats.org/officeDocument/2006/relationships/hyperlink" Target="https://www.ecfr.gov/current/title-42/section-418.24" TargetMode="External"/><Relationship Id="rId15" Type="http://schemas.openxmlformats.org/officeDocument/2006/relationships/hyperlink" Target="https://www.federalregister.gov/citation/57-FR-36017" TargetMode="External"/><Relationship Id="rId23" Type="http://schemas.openxmlformats.org/officeDocument/2006/relationships/hyperlink" Target="https://www.federalregister.gov/citation/89-FR-64272" TargetMode="External"/><Relationship Id="rId10" Type="http://schemas.openxmlformats.org/officeDocument/2006/relationships/hyperlink" Target="https://www.ecfr.gov/current/title-42/section-418.22" TargetMode="External"/><Relationship Id="rId19" Type="http://schemas.openxmlformats.org/officeDocument/2006/relationships/hyperlink" Target="https://www.federalregister.gov/citation/75-FR-70463" TargetMode="External"/><Relationship Id="rId4" Type="http://schemas.openxmlformats.org/officeDocument/2006/relationships/hyperlink" Target="https://www.ecfr.gov/current/title-42/section-418.21" TargetMode="External"/><Relationship Id="rId9" Type="http://schemas.openxmlformats.org/officeDocument/2006/relationships/hyperlink" Target="https://www.ecfr.gov/current/title-42/section-418.22" TargetMode="External"/><Relationship Id="rId14" Type="http://schemas.openxmlformats.org/officeDocument/2006/relationships/hyperlink" Target="https://www.federalregister.gov/citation/55-FR-50834" TargetMode="External"/><Relationship Id="rId22" Type="http://schemas.openxmlformats.org/officeDocument/2006/relationships/hyperlink" Target="https://www.federalregister.gov/citation/88-FR-51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Kate L</dc:creator>
  <cp:keywords/>
  <dc:description/>
  <cp:lastModifiedBy>Jensen, Kate L</cp:lastModifiedBy>
  <cp:revision>1</cp:revision>
  <dcterms:created xsi:type="dcterms:W3CDTF">2024-10-10T20:29:00Z</dcterms:created>
  <dcterms:modified xsi:type="dcterms:W3CDTF">2024-10-10T20:30:00Z</dcterms:modified>
</cp:coreProperties>
</file>