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9A4BE" w14:textId="5EA25D49" w:rsidR="00230A80" w:rsidRPr="00230A80" w:rsidRDefault="00846401" w:rsidP="00230A80">
      <w:pPr>
        <w:pStyle w:val="LetterDate"/>
        <w:spacing w:before="0"/>
        <w:jc w:val="both"/>
        <w:rPr>
          <w:rFonts w:ascii="Times New Roman" w:hAnsi="Times New Roman"/>
          <w:szCs w:val="22"/>
        </w:rPr>
      </w:pPr>
      <w:r>
        <w:rPr>
          <w:rFonts w:ascii="Times New Roman" w:hAnsi="Times New Roman"/>
          <w:noProof/>
          <w:szCs w:val="22"/>
          <w14:ligatures w14:val="standardContextual"/>
        </w:rPr>
        <w:drawing>
          <wp:inline distT="0" distB="0" distL="0" distR="0" wp14:anchorId="15E1ABA3" wp14:editId="2930401D">
            <wp:extent cx="5943600" cy="1571625"/>
            <wp:effectExtent l="0" t="0" r="0" b="9525"/>
            <wp:docPr id="1211513937" name="Picture 2" descr="A logo for a care and home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3937" name="Picture 2" descr="A logo for a care and home care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571625"/>
                    </a:xfrm>
                    <a:prstGeom prst="rect">
                      <a:avLst/>
                    </a:prstGeom>
                  </pic:spPr>
                </pic:pic>
              </a:graphicData>
            </a:graphic>
          </wp:inline>
        </w:drawing>
      </w:r>
    </w:p>
    <w:p w14:paraId="6691BE06" w14:textId="77777777" w:rsidR="00230A80" w:rsidRDefault="00230A80" w:rsidP="00230A80">
      <w:pPr>
        <w:jc w:val="both"/>
        <w:rPr>
          <w:rFonts w:ascii="Times New Roman" w:hAnsi="Times New Roman"/>
          <w:szCs w:val="22"/>
        </w:rPr>
      </w:pPr>
    </w:p>
    <w:p w14:paraId="6B7685DD" w14:textId="6994FB71" w:rsidR="00846401" w:rsidRDefault="00846401" w:rsidP="00230A80">
      <w:pPr>
        <w:jc w:val="both"/>
        <w:rPr>
          <w:rFonts w:ascii="Times New Roman" w:hAnsi="Times New Roman"/>
          <w:szCs w:val="22"/>
        </w:rPr>
      </w:pP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r>
      <w:r>
        <w:rPr>
          <w:rFonts w:ascii="Times New Roman" w:hAnsi="Times New Roman"/>
          <w:szCs w:val="22"/>
        </w:rPr>
        <w:tab/>
        <w:t xml:space="preserve">August </w:t>
      </w:r>
      <w:r w:rsidR="008C0C61">
        <w:rPr>
          <w:rFonts w:ascii="Times New Roman" w:hAnsi="Times New Roman"/>
          <w:szCs w:val="22"/>
        </w:rPr>
        <w:t>26</w:t>
      </w:r>
      <w:r>
        <w:rPr>
          <w:rFonts w:ascii="Times New Roman" w:hAnsi="Times New Roman"/>
          <w:szCs w:val="22"/>
        </w:rPr>
        <w:t>, 202</w:t>
      </w:r>
      <w:r w:rsidR="008C0C61">
        <w:rPr>
          <w:rFonts w:ascii="Times New Roman" w:hAnsi="Times New Roman"/>
          <w:szCs w:val="22"/>
        </w:rPr>
        <w:t>4</w:t>
      </w:r>
    </w:p>
    <w:p w14:paraId="6AE7EA5F" w14:textId="77777777" w:rsidR="00846401" w:rsidRDefault="00846401" w:rsidP="00230A80">
      <w:pPr>
        <w:jc w:val="both"/>
        <w:rPr>
          <w:rFonts w:ascii="Times New Roman" w:hAnsi="Times New Roman"/>
          <w:szCs w:val="22"/>
        </w:rPr>
      </w:pPr>
    </w:p>
    <w:p w14:paraId="37B79EE3" w14:textId="77777777" w:rsidR="00846401" w:rsidRPr="00230A80" w:rsidRDefault="00846401" w:rsidP="00230A80">
      <w:pPr>
        <w:jc w:val="both"/>
        <w:rPr>
          <w:rFonts w:ascii="Times New Roman" w:hAnsi="Times New Roman"/>
          <w:szCs w:val="22"/>
        </w:rPr>
      </w:pPr>
    </w:p>
    <w:sdt>
      <w:sdtPr>
        <w:rPr>
          <w:rFonts w:ascii="Times New Roman" w:hAnsi="Times New Roman"/>
          <w:szCs w:val="22"/>
        </w:rPr>
        <w:alias w:val="Addressees"/>
        <w:tag w:val="iMergeField-Addressees"/>
        <w:id w:val="-452944496"/>
        <w:placeholder>
          <w:docPart w:val="8CA6B75AFA8C47BBA70177167330F3F6"/>
        </w:placeholder>
      </w:sdtPr>
      <w:sdtContent>
        <w:p w14:paraId="0033E472" w14:textId="77777777" w:rsidR="00230A80" w:rsidRPr="00230A80" w:rsidRDefault="00230A80" w:rsidP="00230A80">
          <w:pPr>
            <w:rPr>
              <w:rFonts w:ascii="Times New Roman" w:hAnsi="Times New Roman"/>
              <w:color w:val="FF0000"/>
              <w:szCs w:val="22"/>
            </w:rPr>
          </w:pPr>
          <w:r w:rsidRPr="00230A80">
            <w:rPr>
              <w:rFonts w:ascii="Times New Roman" w:hAnsi="Times New Roman"/>
              <w:szCs w:val="22"/>
            </w:rPr>
            <w:t>The Honorable Chiquita Brooks-LaSure</w:t>
          </w:r>
          <w:r w:rsidRPr="00230A80">
            <w:rPr>
              <w:rFonts w:ascii="Times New Roman" w:hAnsi="Times New Roman"/>
              <w:szCs w:val="22"/>
            </w:rPr>
            <w:tab/>
          </w:r>
          <w:r w:rsidRPr="00230A80">
            <w:rPr>
              <w:rFonts w:ascii="Times New Roman" w:hAnsi="Times New Roman"/>
              <w:szCs w:val="22"/>
            </w:rPr>
            <w:tab/>
          </w:r>
          <w:r w:rsidRPr="00230A80">
            <w:rPr>
              <w:rFonts w:ascii="Times New Roman" w:hAnsi="Times New Roman"/>
              <w:szCs w:val="22"/>
            </w:rPr>
            <w:tab/>
          </w:r>
          <w:r w:rsidRPr="00230A80">
            <w:rPr>
              <w:rFonts w:ascii="Times New Roman" w:hAnsi="Times New Roman"/>
              <w:szCs w:val="22"/>
            </w:rPr>
            <w:tab/>
          </w:r>
        </w:p>
        <w:p w14:paraId="61CF8AFB" w14:textId="77777777" w:rsidR="00230A80" w:rsidRPr="00230A80" w:rsidRDefault="00230A80" w:rsidP="00230A80">
          <w:pPr>
            <w:jc w:val="both"/>
            <w:rPr>
              <w:rFonts w:ascii="Times New Roman" w:hAnsi="Times New Roman"/>
              <w:szCs w:val="22"/>
            </w:rPr>
          </w:pPr>
          <w:r w:rsidRPr="00230A80">
            <w:rPr>
              <w:rFonts w:ascii="Times New Roman" w:hAnsi="Times New Roman"/>
              <w:szCs w:val="22"/>
            </w:rPr>
            <w:t>Administrator</w:t>
          </w:r>
        </w:p>
        <w:p w14:paraId="7213A768" w14:textId="77777777" w:rsidR="00230A80" w:rsidRPr="00230A80" w:rsidRDefault="00230A80" w:rsidP="00230A80">
          <w:pPr>
            <w:jc w:val="both"/>
            <w:rPr>
              <w:rFonts w:ascii="Times New Roman" w:hAnsi="Times New Roman"/>
              <w:szCs w:val="22"/>
            </w:rPr>
          </w:pPr>
          <w:r w:rsidRPr="00230A80">
            <w:rPr>
              <w:rFonts w:ascii="Times New Roman" w:hAnsi="Times New Roman"/>
              <w:szCs w:val="22"/>
            </w:rPr>
            <w:t>Centers for Medicare &amp; Medicaid Services</w:t>
          </w:r>
        </w:p>
        <w:p w14:paraId="770A4267" w14:textId="77777777" w:rsidR="00230A80" w:rsidRPr="00230A80" w:rsidRDefault="00230A80" w:rsidP="00230A80">
          <w:pPr>
            <w:jc w:val="both"/>
            <w:rPr>
              <w:rFonts w:ascii="Times New Roman" w:hAnsi="Times New Roman"/>
              <w:szCs w:val="22"/>
            </w:rPr>
          </w:pPr>
          <w:r w:rsidRPr="00230A80">
            <w:rPr>
              <w:rFonts w:ascii="Times New Roman" w:hAnsi="Times New Roman"/>
              <w:szCs w:val="22"/>
            </w:rPr>
            <w:t>Department of Health and Human Services</w:t>
          </w:r>
        </w:p>
        <w:p w14:paraId="5FA272E9" w14:textId="06B2496F" w:rsidR="00230A80" w:rsidRPr="00230A80" w:rsidRDefault="00230A80" w:rsidP="00230A80">
          <w:pPr>
            <w:jc w:val="both"/>
            <w:rPr>
              <w:rFonts w:ascii="Times New Roman" w:hAnsi="Times New Roman"/>
              <w:szCs w:val="22"/>
            </w:rPr>
          </w:pPr>
          <w:r w:rsidRPr="00230A80">
            <w:rPr>
              <w:rFonts w:ascii="Times New Roman" w:hAnsi="Times New Roman"/>
              <w:szCs w:val="22"/>
            </w:rPr>
            <w:t>Attention: CMS-</w:t>
          </w:r>
          <w:r w:rsidR="00C47793">
            <w:rPr>
              <w:rFonts w:ascii="Times New Roman" w:hAnsi="Times New Roman"/>
              <w:szCs w:val="22"/>
            </w:rPr>
            <w:t>1803-P</w:t>
          </w:r>
        </w:p>
        <w:p w14:paraId="761F3A78" w14:textId="77777777" w:rsidR="00230A80" w:rsidRPr="00230A80" w:rsidRDefault="00230A80" w:rsidP="00230A80">
          <w:pPr>
            <w:jc w:val="both"/>
            <w:rPr>
              <w:rFonts w:ascii="Times New Roman" w:hAnsi="Times New Roman"/>
              <w:szCs w:val="22"/>
            </w:rPr>
          </w:pPr>
          <w:r w:rsidRPr="00230A80">
            <w:rPr>
              <w:rFonts w:ascii="Times New Roman" w:hAnsi="Times New Roman"/>
              <w:szCs w:val="22"/>
            </w:rPr>
            <w:t>P.O Box 8013</w:t>
          </w:r>
        </w:p>
        <w:p w14:paraId="27130807" w14:textId="77777777" w:rsidR="00230A80" w:rsidRPr="00230A80" w:rsidRDefault="00230A80" w:rsidP="00230A80">
          <w:pPr>
            <w:jc w:val="both"/>
            <w:rPr>
              <w:rFonts w:ascii="Times New Roman" w:hAnsi="Times New Roman"/>
              <w:szCs w:val="22"/>
            </w:rPr>
          </w:pPr>
          <w:r w:rsidRPr="00230A80">
            <w:rPr>
              <w:rFonts w:ascii="Times New Roman" w:hAnsi="Times New Roman"/>
              <w:szCs w:val="22"/>
            </w:rPr>
            <w:t>Baltimore, MD 21244-8013</w:t>
          </w:r>
        </w:p>
        <w:p w14:paraId="2027C6E4" w14:textId="77777777" w:rsidR="00230A80" w:rsidRPr="00230A80" w:rsidRDefault="00230A80" w:rsidP="00230A80">
          <w:pPr>
            <w:jc w:val="both"/>
            <w:rPr>
              <w:rFonts w:ascii="Times New Roman" w:hAnsi="Times New Roman"/>
              <w:szCs w:val="22"/>
            </w:rPr>
          </w:pPr>
        </w:p>
        <w:p w14:paraId="3105E435" w14:textId="77777777" w:rsidR="00230A80" w:rsidRPr="00230A80" w:rsidRDefault="00000000" w:rsidP="00230A80">
          <w:pPr>
            <w:jc w:val="both"/>
            <w:rPr>
              <w:rFonts w:ascii="Times New Roman" w:hAnsi="Times New Roman"/>
              <w:szCs w:val="22"/>
            </w:rPr>
          </w:pPr>
        </w:p>
      </w:sdtContent>
    </w:sdt>
    <w:p w14:paraId="14FA0B27" w14:textId="7130A7AC" w:rsidR="007C0D61" w:rsidRPr="00C47793" w:rsidRDefault="00230A80" w:rsidP="007C0D61">
      <w:pPr>
        <w:pStyle w:val="ReLine"/>
        <w:jc w:val="both"/>
        <w:rPr>
          <w:rFonts w:ascii="Times New Roman" w:hAnsi="Times New Roman"/>
          <w:b/>
          <w:bCs/>
        </w:rPr>
      </w:pPr>
      <w:r w:rsidRPr="00230A80">
        <w:rPr>
          <w:rFonts w:ascii="Times New Roman" w:hAnsi="Times New Roman"/>
        </w:rPr>
        <w:t>Re:</w:t>
      </w:r>
      <w:r w:rsidRPr="00230A80">
        <w:rPr>
          <w:rFonts w:ascii="Times New Roman" w:hAnsi="Times New Roman"/>
        </w:rPr>
        <w:tab/>
      </w:r>
      <w:r w:rsidR="007C0D61" w:rsidRPr="00C47793">
        <w:rPr>
          <w:rFonts w:ascii="Times New Roman" w:hAnsi="Times New Roman"/>
          <w:b/>
          <w:bCs/>
        </w:rPr>
        <w:t>Medicare Program; Calendar Year (CY) 2025 Home Health Prospective Payment System (HH PPS) Rate Update; HH Quality Reporting Program</w:t>
      </w:r>
      <w:r w:rsidR="00546C70" w:rsidRPr="00C47793">
        <w:rPr>
          <w:rFonts w:ascii="Times New Roman" w:hAnsi="Times New Roman"/>
          <w:b/>
          <w:bCs/>
        </w:rPr>
        <w:t xml:space="preserve"> </w:t>
      </w:r>
      <w:r w:rsidR="007C0D61" w:rsidRPr="00C47793">
        <w:rPr>
          <w:rFonts w:ascii="Times New Roman" w:hAnsi="Times New Roman"/>
          <w:b/>
          <w:bCs/>
        </w:rPr>
        <w:t>Requirements; HH Value-Based</w:t>
      </w:r>
      <w:r w:rsidR="00546C70" w:rsidRPr="00C47793">
        <w:rPr>
          <w:rFonts w:ascii="Times New Roman" w:hAnsi="Times New Roman"/>
          <w:b/>
          <w:bCs/>
        </w:rPr>
        <w:t xml:space="preserve"> </w:t>
      </w:r>
      <w:r w:rsidR="007C0D61" w:rsidRPr="00C47793">
        <w:rPr>
          <w:rFonts w:ascii="Times New Roman" w:hAnsi="Times New Roman"/>
          <w:b/>
          <w:bCs/>
        </w:rPr>
        <w:t>Purchasing Expanded Model</w:t>
      </w:r>
      <w:r w:rsidR="00546C70" w:rsidRPr="00C47793">
        <w:rPr>
          <w:rFonts w:ascii="Times New Roman" w:hAnsi="Times New Roman"/>
          <w:b/>
          <w:bCs/>
        </w:rPr>
        <w:t xml:space="preserve"> </w:t>
      </w:r>
      <w:r w:rsidR="007C0D61" w:rsidRPr="00C47793">
        <w:rPr>
          <w:rFonts w:ascii="Times New Roman" w:hAnsi="Times New Roman"/>
          <w:b/>
          <w:bCs/>
        </w:rPr>
        <w:t>Requirements; Home Intravenous</w:t>
      </w:r>
      <w:r w:rsidR="00546C70" w:rsidRPr="00C47793">
        <w:rPr>
          <w:rFonts w:ascii="Times New Roman" w:hAnsi="Times New Roman"/>
          <w:b/>
          <w:bCs/>
        </w:rPr>
        <w:t xml:space="preserve"> </w:t>
      </w:r>
      <w:r w:rsidR="007C0D61" w:rsidRPr="00C47793">
        <w:rPr>
          <w:rFonts w:ascii="Times New Roman" w:hAnsi="Times New Roman"/>
          <w:b/>
          <w:bCs/>
        </w:rPr>
        <w:t>Immune Globulin (IVIG) Items and</w:t>
      </w:r>
      <w:r w:rsidR="00546C70" w:rsidRPr="00C47793">
        <w:rPr>
          <w:rFonts w:ascii="Times New Roman" w:hAnsi="Times New Roman"/>
          <w:b/>
          <w:bCs/>
        </w:rPr>
        <w:t xml:space="preserve"> </w:t>
      </w:r>
      <w:r w:rsidR="007C0D61" w:rsidRPr="00C47793">
        <w:rPr>
          <w:rFonts w:ascii="Times New Roman" w:hAnsi="Times New Roman"/>
          <w:b/>
          <w:bCs/>
        </w:rPr>
        <w:t>Services Rate Update; and Other</w:t>
      </w:r>
      <w:r w:rsidR="00546C70" w:rsidRPr="00C47793">
        <w:rPr>
          <w:rFonts w:ascii="Times New Roman" w:hAnsi="Times New Roman"/>
          <w:b/>
          <w:bCs/>
        </w:rPr>
        <w:t xml:space="preserve"> </w:t>
      </w:r>
      <w:r w:rsidR="007C0D61" w:rsidRPr="00C47793">
        <w:rPr>
          <w:rFonts w:ascii="Times New Roman" w:hAnsi="Times New Roman"/>
          <w:b/>
          <w:bCs/>
        </w:rPr>
        <w:t>Medicare Policies</w:t>
      </w:r>
    </w:p>
    <w:sdt>
      <w:sdtPr>
        <w:rPr>
          <w:rFonts w:ascii="Times New Roman" w:hAnsi="Times New Roman"/>
          <w:szCs w:val="22"/>
        </w:rPr>
        <w:alias w:val="Salutation"/>
        <w:tag w:val="iMergeField-Salutation"/>
        <w:id w:val="1595205429"/>
        <w:placeholder>
          <w:docPart w:val="055804F9350D4FB1AAAF20FC769BCF54"/>
        </w:placeholder>
        <w:text w:multiLine="1"/>
      </w:sdtPr>
      <w:sdtContent>
        <w:p w14:paraId="79277F3C" w14:textId="77777777" w:rsidR="00230A80" w:rsidRPr="00230A80" w:rsidRDefault="00230A80" w:rsidP="00230A80">
          <w:pPr>
            <w:pStyle w:val="LetterSalutation"/>
            <w:rPr>
              <w:rFonts w:ascii="Times New Roman" w:hAnsi="Times New Roman"/>
              <w:szCs w:val="22"/>
            </w:rPr>
          </w:pPr>
          <w:r w:rsidRPr="00230A80">
            <w:rPr>
              <w:rFonts w:ascii="Times New Roman" w:hAnsi="Times New Roman"/>
              <w:szCs w:val="22"/>
            </w:rPr>
            <w:t>Dear Administrator Brooks-LaSure,</w:t>
          </w:r>
        </w:p>
      </w:sdtContent>
    </w:sdt>
    <w:p w14:paraId="3205CB6A" w14:textId="78B743F4" w:rsidR="00230A80" w:rsidRPr="00230A80" w:rsidRDefault="00230A80" w:rsidP="00E20888">
      <w:pPr>
        <w:spacing w:after="160" w:line="259" w:lineRule="auto"/>
        <w:ind w:firstLine="720"/>
        <w:jc w:val="both"/>
        <w:rPr>
          <w:rFonts w:ascii="Times New Roman" w:eastAsiaTheme="minorHAnsi" w:hAnsi="Times New Roman"/>
          <w:szCs w:val="22"/>
        </w:rPr>
      </w:pPr>
      <w:r w:rsidRPr="00230A80">
        <w:rPr>
          <w:rFonts w:ascii="Times New Roman" w:eastAsiaTheme="minorHAnsi" w:hAnsi="Times New Roman"/>
          <w:szCs w:val="22"/>
        </w:rPr>
        <w:t>The Centers for Medicare and Medicaid Services (CMS) and the U.S. Department of Health and Human Services have proposed several reforms affecting the Medicare home health benefit and the CY 202</w:t>
      </w:r>
      <w:r w:rsidR="00173DA5">
        <w:rPr>
          <w:rFonts w:ascii="Times New Roman" w:eastAsiaTheme="minorHAnsi" w:hAnsi="Times New Roman"/>
          <w:szCs w:val="22"/>
        </w:rPr>
        <w:t>5</w:t>
      </w:r>
      <w:r w:rsidRPr="00230A80">
        <w:rPr>
          <w:rFonts w:ascii="Times New Roman" w:eastAsiaTheme="minorHAnsi" w:hAnsi="Times New Roman"/>
          <w:szCs w:val="22"/>
        </w:rPr>
        <w:t xml:space="preserve"> payment rates in the Notice of Proposed Rulemaking (NPRM)</w:t>
      </w:r>
      <w:r w:rsidR="00F84033" w:rsidRPr="00230A80">
        <w:rPr>
          <w:rFonts w:ascii="Times New Roman" w:eastAsiaTheme="minorHAnsi" w:hAnsi="Times New Roman"/>
          <w:szCs w:val="22"/>
        </w:rPr>
        <w:t xml:space="preserve">. </w:t>
      </w:r>
      <w:r w:rsidRPr="00230A80">
        <w:rPr>
          <w:rFonts w:ascii="Times New Roman" w:eastAsiaTheme="minorHAnsi" w:hAnsi="Times New Roman"/>
          <w:szCs w:val="22"/>
        </w:rPr>
        <w:t>8</w:t>
      </w:r>
      <w:r w:rsidR="003C7E71">
        <w:rPr>
          <w:rFonts w:ascii="Times New Roman" w:eastAsiaTheme="minorHAnsi" w:hAnsi="Times New Roman"/>
          <w:szCs w:val="22"/>
        </w:rPr>
        <w:t>9</w:t>
      </w:r>
      <w:r w:rsidRPr="00230A80">
        <w:rPr>
          <w:rFonts w:ascii="Times New Roman" w:eastAsiaTheme="minorHAnsi" w:hAnsi="Times New Roman"/>
          <w:szCs w:val="22"/>
        </w:rPr>
        <w:t xml:space="preserve"> Fed. Reg. </w:t>
      </w:r>
      <w:r w:rsidR="00173DA5">
        <w:rPr>
          <w:rFonts w:ascii="Times New Roman" w:eastAsiaTheme="minorHAnsi" w:hAnsi="Times New Roman"/>
          <w:szCs w:val="22"/>
        </w:rPr>
        <w:t>55312</w:t>
      </w:r>
      <w:r w:rsidRPr="00230A80">
        <w:rPr>
          <w:rFonts w:ascii="Times New Roman" w:eastAsiaTheme="minorHAnsi" w:hAnsi="Times New Roman"/>
          <w:szCs w:val="22"/>
        </w:rPr>
        <w:t xml:space="preserve"> (Ju</w:t>
      </w:r>
      <w:r w:rsidR="00F2099C">
        <w:rPr>
          <w:rFonts w:ascii="Times New Roman" w:eastAsiaTheme="minorHAnsi" w:hAnsi="Times New Roman"/>
          <w:szCs w:val="22"/>
        </w:rPr>
        <w:t>ly</w:t>
      </w:r>
      <w:r w:rsidRPr="00230A80">
        <w:rPr>
          <w:rFonts w:ascii="Times New Roman" w:eastAsiaTheme="minorHAnsi" w:hAnsi="Times New Roman"/>
          <w:szCs w:val="22"/>
        </w:rPr>
        <w:t xml:space="preserve"> </w:t>
      </w:r>
      <w:r w:rsidR="00173DA5">
        <w:rPr>
          <w:rFonts w:ascii="Times New Roman" w:eastAsiaTheme="minorHAnsi" w:hAnsi="Times New Roman"/>
          <w:szCs w:val="22"/>
        </w:rPr>
        <w:t>3</w:t>
      </w:r>
      <w:r w:rsidRPr="00230A80">
        <w:rPr>
          <w:rFonts w:ascii="Times New Roman" w:eastAsiaTheme="minorHAnsi" w:hAnsi="Times New Roman"/>
          <w:szCs w:val="22"/>
        </w:rPr>
        <w:t>, 202</w:t>
      </w:r>
      <w:r w:rsidR="00F2099C">
        <w:rPr>
          <w:rFonts w:ascii="Times New Roman" w:eastAsiaTheme="minorHAnsi" w:hAnsi="Times New Roman"/>
          <w:szCs w:val="22"/>
        </w:rPr>
        <w:t>3</w:t>
      </w:r>
      <w:r w:rsidRPr="00230A80">
        <w:rPr>
          <w:rFonts w:ascii="Times New Roman" w:eastAsiaTheme="minorHAnsi" w:hAnsi="Times New Roman"/>
          <w:szCs w:val="22"/>
        </w:rPr>
        <w:t xml:space="preserve">). </w:t>
      </w:r>
    </w:p>
    <w:p w14:paraId="23596E89" w14:textId="128B3B70" w:rsidR="00230A80" w:rsidRPr="00230A80" w:rsidRDefault="00230A80" w:rsidP="00E20888">
      <w:pPr>
        <w:spacing w:after="160" w:line="259" w:lineRule="auto"/>
        <w:ind w:firstLine="720"/>
        <w:jc w:val="both"/>
        <w:rPr>
          <w:rFonts w:ascii="Times New Roman" w:eastAsiaTheme="minorHAnsi" w:hAnsi="Times New Roman"/>
          <w:szCs w:val="22"/>
        </w:rPr>
      </w:pPr>
      <w:r w:rsidRPr="00230A80">
        <w:rPr>
          <w:rFonts w:ascii="Times New Roman" w:eastAsiaTheme="minorHAnsi" w:hAnsi="Times New Roman"/>
          <w:szCs w:val="22"/>
        </w:rPr>
        <w:t xml:space="preserve">The </w:t>
      </w:r>
      <w:r w:rsidR="00D90D62">
        <w:rPr>
          <w:rFonts w:ascii="Times New Roman" w:eastAsiaTheme="minorHAnsi" w:hAnsi="Times New Roman"/>
          <w:szCs w:val="22"/>
        </w:rPr>
        <w:t xml:space="preserve"> ALLIANCE</w:t>
      </w:r>
      <w:r w:rsidR="00322DD9">
        <w:rPr>
          <w:rFonts w:ascii="Times New Roman" w:eastAsiaTheme="minorHAnsi" w:hAnsi="Times New Roman"/>
          <w:szCs w:val="22"/>
        </w:rPr>
        <w:t>-NHPCO Alliance (formerly</w:t>
      </w:r>
      <w:r w:rsidR="00931755">
        <w:rPr>
          <w:rFonts w:ascii="Times New Roman" w:eastAsiaTheme="minorHAnsi" w:hAnsi="Times New Roman"/>
          <w:szCs w:val="22"/>
        </w:rPr>
        <w:t xml:space="preserve"> the </w:t>
      </w:r>
      <w:r w:rsidRPr="00230A80">
        <w:rPr>
          <w:rFonts w:ascii="Times New Roman" w:eastAsiaTheme="minorHAnsi" w:hAnsi="Times New Roman"/>
          <w:szCs w:val="22"/>
        </w:rPr>
        <w:t>National Association for Home Care &amp; Hospice</w:t>
      </w:r>
      <w:r w:rsidR="00931755">
        <w:rPr>
          <w:rFonts w:ascii="Times New Roman" w:eastAsiaTheme="minorHAnsi" w:hAnsi="Times New Roman"/>
          <w:szCs w:val="22"/>
        </w:rPr>
        <w:t>)</w:t>
      </w:r>
      <w:r w:rsidR="004F6B8A">
        <w:rPr>
          <w:rFonts w:ascii="Times New Roman" w:eastAsiaTheme="minorHAnsi" w:hAnsi="Times New Roman"/>
          <w:szCs w:val="22"/>
        </w:rPr>
        <w:t>,</w:t>
      </w:r>
      <w:r w:rsidR="00931755">
        <w:rPr>
          <w:rFonts w:ascii="Times New Roman" w:eastAsiaTheme="minorHAnsi" w:hAnsi="Times New Roman"/>
          <w:szCs w:val="22"/>
        </w:rPr>
        <w:t xml:space="preserve"> hereinafter “Alliance”</w:t>
      </w:r>
      <w:r w:rsidR="004F6B8A">
        <w:rPr>
          <w:rFonts w:ascii="Times New Roman" w:eastAsiaTheme="minorHAnsi" w:hAnsi="Times New Roman"/>
          <w:szCs w:val="22"/>
        </w:rPr>
        <w:t xml:space="preserve">, </w:t>
      </w:r>
      <w:r w:rsidR="00322DD9" w:rsidRPr="00230A80">
        <w:rPr>
          <w:rFonts w:ascii="Times New Roman" w:eastAsiaTheme="minorHAnsi" w:hAnsi="Times New Roman"/>
          <w:szCs w:val="22"/>
        </w:rPr>
        <w:t>respectfully</w:t>
      </w:r>
      <w:r w:rsidRPr="00230A80">
        <w:rPr>
          <w:rFonts w:ascii="Times New Roman" w:eastAsiaTheme="minorHAnsi" w:hAnsi="Times New Roman"/>
          <w:szCs w:val="22"/>
        </w:rPr>
        <w:t xml:space="preserve"> submits these comments regarding the proposals contained within the NPRM. </w:t>
      </w:r>
      <w:r w:rsidR="004F6B8A">
        <w:rPr>
          <w:rFonts w:ascii="Times New Roman" w:eastAsiaTheme="minorHAnsi" w:hAnsi="Times New Roman"/>
          <w:szCs w:val="22"/>
        </w:rPr>
        <w:t xml:space="preserve">The Alliance </w:t>
      </w:r>
      <w:r w:rsidRPr="00230A80">
        <w:rPr>
          <w:rFonts w:ascii="Times New Roman" w:eastAsiaTheme="minorHAnsi" w:hAnsi="Times New Roman"/>
          <w:szCs w:val="22"/>
        </w:rPr>
        <w:t xml:space="preserve">is the largest trade association representing the interests of Medicare home health agencies (HHAs) and hospices nationwide including nonprofit, proprietary, </w:t>
      </w:r>
      <w:r w:rsidR="00E2709D" w:rsidRPr="00230A80">
        <w:rPr>
          <w:rFonts w:ascii="Times New Roman" w:eastAsiaTheme="minorHAnsi" w:hAnsi="Times New Roman"/>
          <w:szCs w:val="22"/>
        </w:rPr>
        <w:t>urban,</w:t>
      </w:r>
      <w:r w:rsidRPr="00230A80">
        <w:rPr>
          <w:rFonts w:ascii="Times New Roman" w:eastAsiaTheme="minorHAnsi" w:hAnsi="Times New Roman"/>
          <w:szCs w:val="22"/>
        </w:rPr>
        <w:t xml:space="preserve"> and rural based, hospital affiliated, public and private corporate entities, and government run providers of home care since 1982. </w:t>
      </w:r>
      <w:r w:rsidR="004F6B8A">
        <w:rPr>
          <w:rFonts w:ascii="Times New Roman" w:eastAsiaTheme="minorHAnsi" w:hAnsi="Times New Roman"/>
          <w:szCs w:val="22"/>
        </w:rPr>
        <w:t>Alliance</w:t>
      </w:r>
      <w:r w:rsidRPr="00230A80">
        <w:rPr>
          <w:rFonts w:ascii="Times New Roman" w:eastAsiaTheme="minorHAnsi" w:hAnsi="Times New Roman"/>
          <w:szCs w:val="22"/>
        </w:rPr>
        <w:t xml:space="preserve"> members provide </w:t>
      </w:r>
      <w:r w:rsidR="00DE260E" w:rsidRPr="00230A80">
        <w:rPr>
          <w:rFonts w:ascii="Times New Roman" w:eastAsiaTheme="minorHAnsi" w:hAnsi="Times New Roman"/>
          <w:szCs w:val="22"/>
        </w:rPr>
        <w:t>most</w:t>
      </w:r>
      <w:r w:rsidRPr="00230A80">
        <w:rPr>
          <w:rFonts w:ascii="Times New Roman" w:eastAsiaTheme="minorHAnsi" w:hAnsi="Times New Roman"/>
          <w:szCs w:val="22"/>
        </w:rPr>
        <w:t xml:space="preserve"> Medicare home care services throughout the </w:t>
      </w:r>
      <w:r w:rsidR="00F84033" w:rsidRPr="00230A80">
        <w:rPr>
          <w:rFonts w:ascii="Times New Roman" w:eastAsiaTheme="minorHAnsi" w:hAnsi="Times New Roman"/>
          <w:szCs w:val="22"/>
        </w:rPr>
        <w:t xml:space="preserve">U.S. </w:t>
      </w:r>
    </w:p>
    <w:p w14:paraId="38F24D1F" w14:textId="415318FA" w:rsidR="00230A80" w:rsidRPr="00230A80" w:rsidRDefault="00985888" w:rsidP="00E20888">
      <w:pPr>
        <w:spacing w:after="160" w:line="259" w:lineRule="auto"/>
        <w:ind w:firstLine="720"/>
        <w:jc w:val="both"/>
        <w:rPr>
          <w:rFonts w:ascii="Times New Roman" w:eastAsiaTheme="minorHAnsi" w:hAnsi="Times New Roman"/>
          <w:szCs w:val="22"/>
        </w:rPr>
      </w:pPr>
      <w:r>
        <w:rPr>
          <w:rFonts w:ascii="Times New Roman" w:eastAsiaTheme="minorHAnsi" w:hAnsi="Times New Roman"/>
          <w:szCs w:val="22"/>
        </w:rPr>
        <w:t>The Alliance i</w:t>
      </w:r>
      <w:r w:rsidR="00230A80" w:rsidRPr="00230A80">
        <w:rPr>
          <w:rFonts w:ascii="Times New Roman" w:eastAsiaTheme="minorHAnsi" w:hAnsi="Times New Roman"/>
          <w:szCs w:val="22"/>
        </w:rPr>
        <w:t xml:space="preserve">s also an original provider-member of the Leadership Council of Aging Organizations (LCAO) as it has put patients first in its health policy and advocacy positions since its inception. Each year, </w:t>
      </w:r>
      <w:r>
        <w:rPr>
          <w:rFonts w:ascii="Times New Roman" w:eastAsiaTheme="minorHAnsi" w:hAnsi="Times New Roman"/>
          <w:szCs w:val="22"/>
        </w:rPr>
        <w:t>Alliance</w:t>
      </w:r>
      <w:r w:rsidR="00230A80" w:rsidRPr="00230A80">
        <w:rPr>
          <w:rFonts w:ascii="Times New Roman" w:eastAsiaTheme="minorHAnsi" w:hAnsi="Times New Roman"/>
          <w:szCs w:val="22"/>
        </w:rPr>
        <w:t xml:space="preserve"> members serve millions of patients of all ages, infirmities, and disabilities, providing an opportunity for individuals to be cared for in their own homes, the care setting preferred by </w:t>
      </w:r>
      <w:r w:rsidR="00F132BC">
        <w:rPr>
          <w:rFonts w:ascii="Times New Roman" w:eastAsiaTheme="minorHAnsi" w:hAnsi="Times New Roman"/>
          <w:szCs w:val="22"/>
        </w:rPr>
        <w:t>most</w:t>
      </w:r>
      <w:r w:rsidR="00230A80" w:rsidRPr="00230A80">
        <w:rPr>
          <w:rFonts w:ascii="Times New Roman" w:eastAsiaTheme="minorHAnsi" w:hAnsi="Times New Roman"/>
          <w:szCs w:val="22"/>
        </w:rPr>
        <w:t xml:space="preserve"> people.</w:t>
      </w:r>
    </w:p>
    <w:p w14:paraId="11AB99AB" w14:textId="692B707B" w:rsidR="00230A80" w:rsidRDefault="00E817DA" w:rsidP="00E20888">
      <w:pPr>
        <w:spacing w:after="160" w:line="259" w:lineRule="auto"/>
        <w:ind w:firstLine="720"/>
        <w:jc w:val="both"/>
        <w:rPr>
          <w:rFonts w:ascii="Times New Roman" w:eastAsiaTheme="minorHAnsi" w:hAnsi="Times New Roman"/>
          <w:szCs w:val="22"/>
        </w:rPr>
      </w:pPr>
      <w:r w:rsidRPr="00230A80">
        <w:rPr>
          <w:rFonts w:ascii="Times New Roman" w:eastAsiaTheme="minorHAnsi" w:hAnsi="Times New Roman"/>
          <w:szCs w:val="22"/>
        </w:rPr>
        <w:t>Many members of our Forum of State Associations also support these comments</w:t>
      </w:r>
      <w:r w:rsidR="00F84033" w:rsidRPr="00230A80">
        <w:rPr>
          <w:rFonts w:ascii="Times New Roman" w:eastAsiaTheme="minorHAnsi" w:hAnsi="Times New Roman"/>
          <w:szCs w:val="22"/>
        </w:rPr>
        <w:t xml:space="preserve">. </w:t>
      </w:r>
      <w:r w:rsidR="00230A80" w:rsidRPr="00230A80">
        <w:rPr>
          <w:rFonts w:ascii="Times New Roman" w:eastAsiaTheme="minorHAnsi" w:hAnsi="Times New Roman"/>
          <w:szCs w:val="22"/>
        </w:rPr>
        <w:t xml:space="preserve">We are specifically joined on this letter by numerous state home care associations listed on the final page. Many others are filing their own comments too. State associations are an important voice in understanding the </w:t>
      </w:r>
      <w:r w:rsidR="00230A80" w:rsidRPr="00230A80">
        <w:rPr>
          <w:rFonts w:ascii="Times New Roman" w:eastAsiaTheme="minorHAnsi" w:hAnsi="Times New Roman"/>
          <w:szCs w:val="22"/>
        </w:rPr>
        <w:lastRenderedPageBreak/>
        <w:t xml:space="preserve">impact of the proposed rules in their local settings. Their “on the ground” perspective deserves special attention. </w:t>
      </w:r>
    </w:p>
    <w:p w14:paraId="07B1DA18" w14:textId="45BEA36D" w:rsidR="004D034F" w:rsidRDefault="004D034F" w:rsidP="00E20888">
      <w:pPr>
        <w:spacing w:after="160" w:line="259" w:lineRule="auto"/>
        <w:ind w:firstLine="720"/>
        <w:jc w:val="both"/>
        <w:rPr>
          <w:rFonts w:ascii="Times New Roman" w:eastAsiaTheme="minorHAnsi" w:hAnsi="Times New Roman"/>
          <w:szCs w:val="22"/>
        </w:rPr>
      </w:pPr>
      <w:r>
        <w:rPr>
          <w:rFonts w:ascii="Times New Roman" w:eastAsiaTheme="minorHAnsi" w:hAnsi="Times New Roman"/>
          <w:szCs w:val="22"/>
        </w:rPr>
        <w:t>W</w:t>
      </w:r>
      <w:r w:rsidR="003C0AFA">
        <w:rPr>
          <w:rFonts w:ascii="Times New Roman" w:eastAsiaTheme="minorHAnsi" w:hAnsi="Times New Roman"/>
          <w:szCs w:val="22"/>
        </w:rPr>
        <w:t>e</w:t>
      </w:r>
      <w:r>
        <w:rPr>
          <w:rFonts w:ascii="Times New Roman" w:eastAsiaTheme="minorHAnsi" w:hAnsi="Times New Roman"/>
          <w:szCs w:val="22"/>
        </w:rPr>
        <w:t xml:space="preserve"> are aware that numerous other organization and representatives of the HHA community </w:t>
      </w:r>
      <w:r w:rsidR="00041275">
        <w:rPr>
          <w:rFonts w:ascii="Times New Roman" w:eastAsiaTheme="minorHAnsi" w:hAnsi="Times New Roman"/>
          <w:szCs w:val="22"/>
        </w:rPr>
        <w:t xml:space="preserve">have submitted comments as well We especially </w:t>
      </w:r>
      <w:r w:rsidR="00C82291">
        <w:rPr>
          <w:rFonts w:ascii="Times New Roman" w:eastAsiaTheme="minorHAnsi" w:hAnsi="Times New Roman"/>
          <w:szCs w:val="22"/>
        </w:rPr>
        <w:t>re</w:t>
      </w:r>
      <w:r w:rsidR="00041275">
        <w:rPr>
          <w:rFonts w:ascii="Times New Roman" w:eastAsiaTheme="minorHAnsi" w:hAnsi="Times New Roman"/>
          <w:szCs w:val="22"/>
        </w:rPr>
        <w:t xml:space="preserve">commend </w:t>
      </w:r>
      <w:r w:rsidR="00C82291">
        <w:rPr>
          <w:rFonts w:ascii="Times New Roman" w:eastAsiaTheme="minorHAnsi" w:hAnsi="Times New Roman"/>
          <w:szCs w:val="22"/>
        </w:rPr>
        <w:t>that</w:t>
      </w:r>
      <w:r w:rsidR="00F860C1">
        <w:rPr>
          <w:rFonts w:ascii="Times New Roman" w:eastAsiaTheme="minorHAnsi" w:hAnsi="Times New Roman"/>
          <w:szCs w:val="22"/>
        </w:rPr>
        <w:t xml:space="preserve"> </w:t>
      </w:r>
      <w:r w:rsidR="00041275">
        <w:rPr>
          <w:rFonts w:ascii="Times New Roman" w:eastAsiaTheme="minorHAnsi" w:hAnsi="Times New Roman"/>
          <w:szCs w:val="22"/>
        </w:rPr>
        <w:t xml:space="preserve">CMS provide </w:t>
      </w:r>
      <w:r w:rsidR="00015F59">
        <w:rPr>
          <w:rFonts w:ascii="Times New Roman" w:eastAsiaTheme="minorHAnsi" w:hAnsi="Times New Roman"/>
          <w:szCs w:val="22"/>
        </w:rPr>
        <w:t>thoughtful consideration</w:t>
      </w:r>
      <w:r w:rsidR="00BD5101">
        <w:rPr>
          <w:rFonts w:ascii="Times New Roman" w:eastAsiaTheme="minorHAnsi" w:hAnsi="Times New Roman"/>
          <w:szCs w:val="22"/>
        </w:rPr>
        <w:t xml:space="preserve"> to</w:t>
      </w:r>
      <w:r w:rsidR="00041275">
        <w:rPr>
          <w:rFonts w:ascii="Times New Roman" w:eastAsiaTheme="minorHAnsi" w:hAnsi="Times New Roman"/>
          <w:szCs w:val="22"/>
        </w:rPr>
        <w:t xml:space="preserve"> those comments submitted by the Partnership for Quality Home Health</w:t>
      </w:r>
      <w:r w:rsidR="00F64B7A">
        <w:rPr>
          <w:rFonts w:ascii="Times New Roman" w:eastAsiaTheme="minorHAnsi" w:hAnsi="Times New Roman"/>
          <w:szCs w:val="22"/>
        </w:rPr>
        <w:t xml:space="preserve"> along with those submitted by several </w:t>
      </w:r>
      <w:r w:rsidR="00F42C17">
        <w:rPr>
          <w:rFonts w:ascii="Times New Roman" w:eastAsiaTheme="minorHAnsi" w:hAnsi="Times New Roman"/>
          <w:szCs w:val="22"/>
        </w:rPr>
        <w:t>by our</w:t>
      </w:r>
      <w:r w:rsidR="00F64B7A">
        <w:rPr>
          <w:rFonts w:ascii="Times New Roman" w:eastAsiaTheme="minorHAnsi" w:hAnsi="Times New Roman"/>
          <w:szCs w:val="22"/>
        </w:rPr>
        <w:t xml:space="preserve"> the EMR/IT business partner</w:t>
      </w:r>
      <w:r w:rsidR="00F42C17">
        <w:rPr>
          <w:rFonts w:ascii="Times New Roman" w:eastAsiaTheme="minorHAnsi" w:hAnsi="Times New Roman"/>
          <w:szCs w:val="22"/>
        </w:rPr>
        <w:t xml:space="preserve"> members</w:t>
      </w:r>
      <w:r w:rsidR="00F64B7A">
        <w:rPr>
          <w:rFonts w:ascii="Times New Roman" w:eastAsiaTheme="minorHAnsi" w:hAnsi="Times New Roman"/>
          <w:szCs w:val="22"/>
        </w:rPr>
        <w:t xml:space="preserve"> that offer extensive “real-time</w:t>
      </w:r>
      <w:r w:rsidR="00F42C17">
        <w:rPr>
          <w:rFonts w:ascii="Times New Roman" w:eastAsiaTheme="minorHAnsi" w:hAnsi="Times New Roman"/>
          <w:szCs w:val="22"/>
        </w:rPr>
        <w:t>”</w:t>
      </w:r>
      <w:r w:rsidR="00F64B7A">
        <w:rPr>
          <w:rFonts w:ascii="Times New Roman" w:eastAsiaTheme="minorHAnsi" w:hAnsi="Times New Roman"/>
          <w:szCs w:val="22"/>
        </w:rPr>
        <w:t xml:space="preserve"> data analysis. </w:t>
      </w:r>
    </w:p>
    <w:p w14:paraId="0C6EAFD4" w14:textId="59877C97" w:rsidR="005E3DDA" w:rsidRPr="00CE5495" w:rsidRDefault="00230A80" w:rsidP="00E20888">
      <w:pPr>
        <w:ind w:firstLine="720"/>
        <w:rPr>
          <w:rFonts w:ascii="Times New Roman" w:hAnsi="Times New Roman"/>
        </w:rPr>
      </w:pPr>
      <w:r w:rsidRPr="00CE5495">
        <w:rPr>
          <w:rFonts w:ascii="Times New Roman" w:hAnsi="Times New Roman"/>
        </w:rPr>
        <w:t xml:space="preserve">At the outset, we respectfully express that the </w:t>
      </w:r>
      <w:r w:rsidR="00022230">
        <w:rPr>
          <w:rFonts w:ascii="Times New Roman" w:hAnsi="Times New Roman"/>
        </w:rPr>
        <w:t xml:space="preserve">existing and newly </w:t>
      </w:r>
      <w:r w:rsidRPr="00CE5495">
        <w:rPr>
          <w:rFonts w:ascii="Times New Roman" w:hAnsi="Times New Roman"/>
        </w:rPr>
        <w:t>pro</w:t>
      </w:r>
      <w:r w:rsidR="00CC5570">
        <w:rPr>
          <w:rFonts w:ascii="Times New Roman" w:hAnsi="Times New Roman"/>
        </w:rPr>
        <w:t>posed</w:t>
      </w:r>
      <w:r w:rsidRPr="00CE5495">
        <w:rPr>
          <w:rFonts w:ascii="Times New Roman" w:hAnsi="Times New Roman"/>
        </w:rPr>
        <w:t xml:space="preserve"> payment rate cuts will </w:t>
      </w:r>
      <w:r w:rsidR="00022230">
        <w:rPr>
          <w:rFonts w:ascii="Times New Roman" w:hAnsi="Times New Roman"/>
        </w:rPr>
        <w:t xml:space="preserve">continue to </w:t>
      </w:r>
      <w:r w:rsidRPr="00CE5495">
        <w:rPr>
          <w:rFonts w:ascii="Times New Roman" w:hAnsi="Times New Roman"/>
        </w:rPr>
        <w:t xml:space="preserve">serve to significantly reduce access to essential home health services throughout the country and set the stage for further annual rate cuts that will </w:t>
      </w:r>
      <w:r w:rsidR="00F132BC" w:rsidRPr="00CE5495">
        <w:rPr>
          <w:rFonts w:ascii="Times New Roman" w:hAnsi="Times New Roman"/>
        </w:rPr>
        <w:t>dismantle</w:t>
      </w:r>
      <w:r w:rsidRPr="00CE5495">
        <w:rPr>
          <w:rFonts w:ascii="Times New Roman" w:hAnsi="Times New Roman"/>
        </w:rPr>
        <w:t xml:space="preserve"> this crucial benefit. That outcome stems from the application of a budget neutrality adjustment methodology that will perpetually rebase payment rates reflecting the natural and foreseeable reaction of home health agencies (hereinafter “HHAs”) to reduced reimbursement. CMS </w:t>
      </w:r>
      <w:r w:rsidR="00DE260E" w:rsidRPr="00CE5495">
        <w:rPr>
          <w:rFonts w:ascii="Times New Roman" w:hAnsi="Times New Roman"/>
        </w:rPr>
        <w:t>understands</w:t>
      </w:r>
      <w:r w:rsidRPr="00CE5495">
        <w:rPr>
          <w:rFonts w:ascii="Times New Roman" w:hAnsi="Times New Roman"/>
        </w:rPr>
        <w:t xml:space="preserve"> HHAs</w:t>
      </w:r>
      <w:r w:rsidR="0082739C" w:rsidRPr="00CE5495">
        <w:rPr>
          <w:rFonts w:ascii="Times New Roman" w:hAnsi="Times New Roman"/>
        </w:rPr>
        <w:t>, like all health services providers, will reduce costs in reaction to payment reductions. Cost reductions often can include service reductions involving the admission of patients, the scope of services offered, and the extent of services provided. Co</w:t>
      </w:r>
      <w:r w:rsidR="00B52BE3">
        <w:rPr>
          <w:rFonts w:ascii="Times New Roman" w:hAnsi="Times New Roman"/>
        </w:rPr>
        <w:t>nsequently</w:t>
      </w:r>
      <w:r w:rsidR="0082739C" w:rsidRPr="00CE5495">
        <w:rPr>
          <w:rFonts w:ascii="Times New Roman" w:hAnsi="Times New Roman"/>
        </w:rPr>
        <w:t xml:space="preserve">, the CMS budget neutrality methodology will </w:t>
      </w:r>
      <w:r w:rsidR="00192E20">
        <w:rPr>
          <w:rFonts w:ascii="Times New Roman" w:hAnsi="Times New Roman"/>
        </w:rPr>
        <w:t xml:space="preserve">continue to </w:t>
      </w:r>
      <w:r w:rsidR="0082739C" w:rsidRPr="00CE5495">
        <w:rPr>
          <w:rFonts w:ascii="Times New Roman" w:hAnsi="Times New Roman"/>
        </w:rPr>
        <w:t>trigger further payment rate reductions that will eventually destroy the value of the home health services benefit</w:t>
      </w:r>
      <w:r w:rsidR="00F84033" w:rsidRPr="00CE5495">
        <w:rPr>
          <w:rFonts w:ascii="Times New Roman" w:hAnsi="Times New Roman"/>
        </w:rPr>
        <w:t xml:space="preserve">. </w:t>
      </w:r>
    </w:p>
    <w:p w14:paraId="47F70FF6" w14:textId="77777777" w:rsidR="0082739C" w:rsidRPr="00CE5495" w:rsidRDefault="0082739C">
      <w:pPr>
        <w:rPr>
          <w:rFonts w:ascii="Times New Roman" w:hAnsi="Times New Roman"/>
        </w:rPr>
      </w:pPr>
    </w:p>
    <w:p w14:paraId="0647793E" w14:textId="5B551217" w:rsidR="00977B34" w:rsidRDefault="0082739C" w:rsidP="00E20888">
      <w:pPr>
        <w:ind w:firstLine="720"/>
        <w:rPr>
          <w:rFonts w:ascii="Times New Roman" w:hAnsi="Times New Roman"/>
        </w:rPr>
      </w:pPr>
      <w:r w:rsidRPr="00CE5495">
        <w:rPr>
          <w:rFonts w:ascii="Times New Roman" w:hAnsi="Times New Roman"/>
        </w:rPr>
        <w:t>CMS has the authority and the responsibility to prevent such an outcome</w:t>
      </w:r>
      <w:r w:rsidR="000871DE">
        <w:rPr>
          <w:rFonts w:ascii="Times New Roman" w:hAnsi="Times New Roman"/>
        </w:rPr>
        <w:t xml:space="preserve"> under 42 USC 1395fff</w:t>
      </w:r>
      <w:r w:rsidR="007B2F8D">
        <w:rPr>
          <w:rFonts w:ascii="Times New Roman" w:hAnsi="Times New Roman"/>
        </w:rPr>
        <w:t xml:space="preserve"> to determine the </w:t>
      </w:r>
      <w:r w:rsidR="00D93A68">
        <w:rPr>
          <w:rFonts w:ascii="Times New Roman" w:hAnsi="Times New Roman"/>
        </w:rPr>
        <w:t>“</w:t>
      </w:r>
      <w:r w:rsidR="007B2F8D">
        <w:rPr>
          <w:rFonts w:ascii="Times New Roman" w:hAnsi="Times New Roman"/>
        </w:rPr>
        <w:t>time and manner</w:t>
      </w:r>
      <w:r w:rsidR="00D93A68">
        <w:rPr>
          <w:rFonts w:ascii="Times New Roman" w:hAnsi="Times New Roman"/>
        </w:rPr>
        <w:t>”</w:t>
      </w:r>
      <w:r w:rsidR="007B2F8D">
        <w:rPr>
          <w:rFonts w:ascii="Times New Roman" w:hAnsi="Times New Roman"/>
        </w:rPr>
        <w:t xml:space="preserve"> of applying any rate adjustments under PDGM</w:t>
      </w:r>
      <w:r w:rsidRPr="00CE5495">
        <w:rPr>
          <w:rFonts w:ascii="Times New Roman" w:hAnsi="Times New Roman"/>
        </w:rPr>
        <w:t xml:space="preserve">. </w:t>
      </w:r>
      <w:r w:rsidR="008127B2">
        <w:rPr>
          <w:rFonts w:ascii="Times New Roman" w:hAnsi="Times New Roman"/>
        </w:rPr>
        <w:t>CMS has the full discretion</w:t>
      </w:r>
      <w:r w:rsidR="00977B34">
        <w:rPr>
          <w:rFonts w:ascii="Times New Roman" w:hAnsi="Times New Roman"/>
        </w:rPr>
        <w:t>ary power</w:t>
      </w:r>
      <w:r w:rsidR="008127B2">
        <w:rPr>
          <w:rFonts w:ascii="Times New Roman" w:hAnsi="Times New Roman"/>
        </w:rPr>
        <w:t xml:space="preserve"> to go forward with </w:t>
      </w:r>
      <w:r w:rsidR="00695269">
        <w:rPr>
          <w:rFonts w:ascii="Times New Roman" w:hAnsi="Times New Roman"/>
        </w:rPr>
        <w:t>the 202</w:t>
      </w:r>
      <w:r w:rsidR="00192E20">
        <w:rPr>
          <w:rFonts w:ascii="Times New Roman" w:hAnsi="Times New Roman"/>
        </w:rPr>
        <w:t>5</w:t>
      </w:r>
      <w:r w:rsidR="008127B2">
        <w:rPr>
          <w:rFonts w:ascii="Times New Roman" w:hAnsi="Times New Roman"/>
        </w:rPr>
        <w:t xml:space="preserve"> rate setting without</w:t>
      </w:r>
      <w:r w:rsidR="00977B34">
        <w:rPr>
          <w:rFonts w:ascii="Times New Roman" w:hAnsi="Times New Roman"/>
        </w:rPr>
        <w:t xml:space="preserve"> the proposed </w:t>
      </w:r>
      <w:r w:rsidR="00192E20">
        <w:rPr>
          <w:rFonts w:ascii="Times New Roman" w:hAnsi="Times New Roman"/>
        </w:rPr>
        <w:t>4.067</w:t>
      </w:r>
      <w:r w:rsidR="00977B34">
        <w:rPr>
          <w:rFonts w:ascii="Times New Roman" w:hAnsi="Times New Roman"/>
        </w:rPr>
        <w:t xml:space="preserve">% rate cut. </w:t>
      </w:r>
    </w:p>
    <w:p w14:paraId="2E53C2A2" w14:textId="77777777" w:rsidR="00977B34" w:rsidRDefault="00977B34">
      <w:pPr>
        <w:rPr>
          <w:rFonts w:ascii="Times New Roman" w:hAnsi="Times New Roman"/>
        </w:rPr>
      </w:pPr>
    </w:p>
    <w:p w14:paraId="45C3FA0F" w14:textId="5F2E7CF0" w:rsidR="00EB60DD" w:rsidRPr="00CE5495" w:rsidRDefault="0082739C" w:rsidP="00E20888">
      <w:pPr>
        <w:ind w:firstLine="720"/>
        <w:rPr>
          <w:rFonts w:ascii="Times New Roman" w:hAnsi="Times New Roman"/>
        </w:rPr>
      </w:pPr>
      <w:r w:rsidRPr="00CE5495">
        <w:rPr>
          <w:rFonts w:ascii="Times New Roman" w:hAnsi="Times New Roman"/>
        </w:rPr>
        <w:t xml:space="preserve">While we </w:t>
      </w:r>
      <w:r w:rsidR="00C82291">
        <w:rPr>
          <w:rFonts w:ascii="Times New Roman" w:hAnsi="Times New Roman"/>
        </w:rPr>
        <w:t xml:space="preserve">once again </w:t>
      </w:r>
      <w:r w:rsidRPr="00CE5495">
        <w:rPr>
          <w:rFonts w:ascii="Times New Roman" w:hAnsi="Times New Roman"/>
        </w:rPr>
        <w:t>will not relitigate here our position that the budget neutrality methodology fails to conform with statutory mandates, CMS does have the clear authority to determine the time and manner of any permanent and temporary adjustments under the payment model</w:t>
      </w:r>
      <w:r w:rsidR="00754E9C">
        <w:rPr>
          <w:rFonts w:ascii="Times New Roman" w:hAnsi="Times New Roman"/>
        </w:rPr>
        <w:t xml:space="preserve"> and has used that power in past </w:t>
      </w:r>
      <w:r w:rsidR="00AB5AE2">
        <w:rPr>
          <w:rFonts w:ascii="Times New Roman" w:hAnsi="Times New Roman"/>
        </w:rPr>
        <w:t>rulemakings</w:t>
      </w:r>
      <w:r w:rsidRPr="00CE5495">
        <w:rPr>
          <w:rFonts w:ascii="Times New Roman" w:hAnsi="Times New Roman"/>
        </w:rPr>
        <w:t xml:space="preserve">. </w:t>
      </w:r>
      <w:r w:rsidRPr="00CE5495">
        <w:rPr>
          <w:rFonts w:ascii="Times New Roman" w:hAnsi="Times New Roman"/>
          <w:b/>
          <w:bCs/>
        </w:rPr>
        <w:t xml:space="preserve">We </w:t>
      </w:r>
      <w:r w:rsidR="00F860C1">
        <w:rPr>
          <w:rFonts w:ascii="Times New Roman" w:hAnsi="Times New Roman"/>
          <w:b/>
          <w:bCs/>
        </w:rPr>
        <w:t xml:space="preserve">once again </w:t>
      </w:r>
      <w:r w:rsidRPr="00CE5495">
        <w:rPr>
          <w:rFonts w:ascii="Times New Roman" w:hAnsi="Times New Roman"/>
          <w:b/>
          <w:bCs/>
        </w:rPr>
        <w:t>strongly recommend that CMS use that authority to withhold any such adjustments in 202</w:t>
      </w:r>
      <w:r w:rsidR="00F860C1">
        <w:rPr>
          <w:rFonts w:ascii="Times New Roman" w:hAnsi="Times New Roman"/>
          <w:b/>
          <w:bCs/>
        </w:rPr>
        <w:t>5</w:t>
      </w:r>
      <w:r w:rsidRPr="00CE5495">
        <w:rPr>
          <w:rFonts w:ascii="Times New Roman" w:hAnsi="Times New Roman"/>
          <w:b/>
          <w:bCs/>
        </w:rPr>
        <w:t xml:space="preserve"> to provide the opportunity for a full and deep review of the direction of the home health benefit, its impact on access to care, and options to preserve a longstanding benefit that has brought high quality of care</w:t>
      </w:r>
      <w:r w:rsidR="00E73E5A" w:rsidRPr="00CE5495">
        <w:rPr>
          <w:rFonts w:ascii="Times New Roman" w:hAnsi="Times New Roman"/>
          <w:b/>
          <w:bCs/>
        </w:rPr>
        <w:t xml:space="preserve"> and essential health care services to millions of Medicare beneficiaries since 1965</w:t>
      </w:r>
      <w:r w:rsidR="00AB5AE2">
        <w:rPr>
          <w:rFonts w:ascii="Times New Roman" w:hAnsi="Times New Roman"/>
          <w:b/>
          <w:bCs/>
        </w:rPr>
        <w:t>,</w:t>
      </w:r>
      <w:r w:rsidR="00E73E5A" w:rsidRPr="00CE5495">
        <w:rPr>
          <w:rFonts w:ascii="Times New Roman" w:hAnsi="Times New Roman"/>
          <w:b/>
          <w:bCs/>
        </w:rPr>
        <w:t xml:space="preserve"> along with great value to the Medicare program through expenditure savings far in excess of any other Medicare benefit.</w:t>
      </w:r>
      <w:r w:rsidR="00192CF2">
        <w:rPr>
          <w:rFonts w:ascii="Times New Roman" w:hAnsi="Times New Roman"/>
          <w:b/>
          <w:bCs/>
        </w:rPr>
        <w:t xml:space="preserve"> Since the </w:t>
      </w:r>
      <w:r w:rsidR="005F511E">
        <w:rPr>
          <w:rFonts w:ascii="Times New Roman" w:hAnsi="Times New Roman"/>
          <w:b/>
          <w:bCs/>
        </w:rPr>
        <w:t>initiation</w:t>
      </w:r>
      <w:r w:rsidR="00192CF2">
        <w:rPr>
          <w:rFonts w:ascii="Times New Roman" w:hAnsi="Times New Roman"/>
          <w:b/>
          <w:bCs/>
        </w:rPr>
        <w:t xml:space="preserve"> of PDGNM in CY2020, </w:t>
      </w:r>
      <w:r w:rsidR="0066509B">
        <w:rPr>
          <w:rFonts w:ascii="Times New Roman" w:hAnsi="Times New Roman"/>
          <w:b/>
          <w:bCs/>
        </w:rPr>
        <w:t xml:space="preserve">CMS’s own data </w:t>
      </w:r>
      <w:r w:rsidR="00192CF2">
        <w:rPr>
          <w:rFonts w:ascii="Times New Roman" w:hAnsi="Times New Roman"/>
          <w:b/>
          <w:bCs/>
        </w:rPr>
        <w:t>shows</w:t>
      </w:r>
      <w:r w:rsidR="0066509B">
        <w:rPr>
          <w:rFonts w:ascii="Times New Roman" w:hAnsi="Times New Roman"/>
          <w:b/>
          <w:bCs/>
        </w:rPr>
        <w:t xml:space="preserve"> the significant deterio</w:t>
      </w:r>
      <w:r w:rsidR="005F511E">
        <w:rPr>
          <w:rFonts w:ascii="Times New Roman" w:hAnsi="Times New Roman"/>
          <w:b/>
          <w:bCs/>
        </w:rPr>
        <w:t>r</w:t>
      </w:r>
      <w:r w:rsidR="0066509B">
        <w:rPr>
          <w:rFonts w:ascii="Times New Roman" w:hAnsi="Times New Roman"/>
          <w:b/>
          <w:bCs/>
        </w:rPr>
        <w:t>a</w:t>
      </w:r>
      <w:r w:rsidR="005F511E">
        <w:rPr>
          <w:rFonts w:ascii="Times New Roman" w:hAnsi="Times New Roman"/>
          <w:b/>
          <w:bCs/>
        </w:rPr>
        <w:t xml:space="preserve">tion of </w:t>
      </w:r>
      <w:r w:rsidR="005E4A57">
        <w:rPr>
          <w:rFonts w:ascii="Times New Roman" w:hAnsi="Times New Roman"/>
          <w:b/>
          <w:bCs/>
        </w:rPr>
        <w:t>the home</w:t>
      </w:r>
      <w:r w:rsidR="005F511E">
        <w:rPr>
          <w:rFonts w:ascii="Times New Roman" w:hAnsi="Times New Roman"/>
          <w:b/>
          <w:bCs/>
        </w:rPr>
        <w:t xml:space="preserve"> health benefit and the increasing reduction in access across the country. </w:t>
      </w:r>
      <w:r w:rsidR="0095342E">
        <w:rPr>
          <w:rFonts w:ascii="Times New Roman" w:hAnsi="Times New Roman"/>
          <w:b/>
          <w:bCs/>
        </w:rPr>
        <w:t xml:space="preserve"> AS detailed below, fewer and fewer Medicare beneficiaries have access to the home health benefit</w:t>
      </w:r>
      <w:r w:rsidR="00192CF2">
        <w:rPr>
          <w:rFonts w:ascii="Times New Roman" w:hAnsi="Times New Roman"/>
          <w:b/>
          <w:bCs/>
        </w:rPr>
        <w:t xml:space="preserve"> </w:t>
      </w:r>
      <w:r w:rsidR="005E4A57">
        <w:rPr>
          <w:rFonts w:ascii="Times New Roman" w:hAnsi="Times New Roman"/>
          <w:b/>
          <w:bCs/>
        </w:rPr>
        <w:t xml:space="preserve">and those that do face a significantly reduced scope and depth of care.  </w:t>
      </w:r>
      <w:r w:rsidR="00E73E5A" w:rsidRPr="00CE5495">
        <w:rPr>
          <w:rFonts w:ascii="Times New Roman" w:hAnsi="Times New Roman"/>
        </w:rPr>
        <w:t xml:space="preserve"> </w:t>
      </w:r>
    </w:p>
    <w:p w14:paraId="2A8A3E3F" w14:textId="77777777" w:rsidR="00EB60DD" w:rsidRPr="00CE5495" w:rsidRDefault="00EB60DD">
      <w:pPr>
        <w:rPr>
          <w:rFonts w:ascii="Times New Roman" w:hAnsi="Times New Roman"/>
        </w:rPr>
      </w:pPr>
    </w:p>
    <w:p w14:paraId="503F9091" w14:textId="43D14E56" w:rsidR="00BE6002" w:rsidRDefault="00EB60DD" w:rsidP="00E20888">
      <w:pPr>
        <w:ind w:firstLine="720"/>
        <w:rPr>
          <w:rFonts w:ascii="Times New Roman" w:hAnsi="Times New Roman"/>
        </w:rPr>
      </w:pPr>
      <w:r w:rsidRPr="00CE5495">
        <w:rPr>
          <w:rFonts w:ascii="Times New Roman" w:hAnsi="Times New Roman"/>
        </w:rPr>
        <w:t>Specific comments on all elements of the NPRM are below</w:t>
      </w:r>
      <w:r w:rsidR="00F84033" w:rsidRPr="00CE5495">
        <w:rPr>
          <w:rFonts w:ascii="Times New Roman" w:hAnsi="Times New Roman"/>
        </w:rPr>
        <w:t xml:space="preserve">. </w:t>
      </w:r>
      <w:r w:rsidR="00521790">
        <w:rPr>
          <w:rFonts w:ascii="Times New Roman" w:hAnsi="Times New Roman"/>
        </w:rPr>
        <w:t>W</w:t>
      </w:r>
      <w:r w:rsidR="00297310">
        <w:rPr>
          <w:rFonts w:ascii="Times New Roman" w:hAnsi="Times New Roman"/>
        </w:rPr>
        <w:t>e</w:t>
      </w:r>
      <w:r w:rsidR="00521790">
        <w:rPr>
          <w:rFonts w:ascii="Times New Roman" w:hAnsi="Times New Roman"/>
        </w:rPr>
        <w:t xml:space="preserve"> offer the following summary of </w:t>
      </w:r>
      <w:r w:rsidR="000E2794">
        <w:rPr>
          <w:rFonts w:ascii="Times New Roman" w:hAnsi="Times New Roman"/>
        </w:rPr>
        <w:t>our overall recommendations:</w:t>
      </w:r>
    </w:p>
    <w:p w14:paraId="7B22081E" w14:textId="77777777" w:rsidR="00BE6002" w:rsidRDefault="00BE6002">
      <w:pPr>
        <w:rPr>
          <w:rFonts w:ascii="Times New Roman" w:hAnsi="Times New Roman"/>
        </w:rPr>
      </w:pPr>
    </w:p>
    <w:p w14:paraId="78AFAB26" w14:textId="77777777" w:rsidR="00E65D76" w:rsidRDefault="00E65D76">
      <w:pPr>
        <w:rPr>
          <w:rFonts w:ascii="Times New Roman" w:hAnsi="Times New Roman"/>
        </w:rPr>
      </w:pPr>
    </w:p>
    <w:p w14:paraId="451DF404" w14:textId="77777777" w:rsidR="00E20888" w:rsidRDefault="00E20888" w:rsidP="00E967B4">
      <w:pPr>
        <w:rPr>
          <w:rFonts w:ascii="Times New Roman" w:hAnsi="Times New Roman"/>
          <w:b/>
          <w:bCs/>
          <w:szCs w:val="22"/>
        </w:rPr>
      </w:pPr>
    </w:p>
    <w:p w14:paraId="5A7EF7E2" w14:textId="77777777" w:rsidR="00E20888" w:rsidRDefault="00E20888" w:rsidP="00E967B4">
      <w:pPr>
        <w:rPr>
          <w:rFonts w:ascii="Times New Roman" w:hAnsi="Times New Roman"/>
          <w:b/>
          <w:bCs/>
          <w:szCs w:val="22"/>
        </w:rPr>
      </w:pPr>
    </w:p>
    <w:p w14:paraId="360EDCD0" w14:textId="29270F34" w:rsidR="00E967B4" w:rsidRDefault="00E20888" w:rsidP="00132EEB">
      <w:pPr>
        <w:ind w:left="2160" w:firstLine="720"/>
        <w:rPr>
          <w:rFonts w:ascii="Times New Roman" w:hAnsi="Times New Roman"/>
          <w:b/>
          <w:bCs/>
          <w:szCs w:val="22"/>
        </w:rPr>
      </w:pPr>
      <w:r>
        <w:rPr>
          <w:rFonts w:ascii="Times New Roman" w:hAnsi="Times New Roman"/>
          <w:b/>
          <w:bCs/>
          <w:szCs w:val="22"/>
        </w:rPr>
        <w:t xml:space="preserve">OVERALL </w:t>
      </w:r>
      <w:r w:rsidR="00E967B4">
        <w:rPr>
          <w:rFonts w:ascii="Times New Roman" w:hAnsi="Times New Roman"/>
          <w:b/>
          <w:bCs/>
          <w:szCs w:val="22"/>
        </w:rPr>
        <w:t>RECOMMENDATIONS</w:t>
      </w:r>
    </w:p>
    <w:p w14:paraId="536FC629" w14:textId="77777777" w:rsidR="00132EEB" w:rsidRDefault="00132EEB" w:rsidP="00E20888">
      <w:pPr>
        <w:ind w:left="1440" w:firstLine="720"/>
        <w:rPr>
          <w:rFonts w:ascii="Times New Roman" w:hAnsi="Times New Roman"/>
          <w:b/>
          <w:bCs/>
          <w:szCs w:val="22"/>
        </w:rPr>
      </w:pPr>
    </w:p>
    <w:p w14:paraId="2505E442" w14:textId="77777777" w:rsidR="00745A59" w:rsidRDefault="00745A59" w:rsidP="00E967B4">
      <w:pPr>
        <w:rPr>
          <w:rFonts w:ascii="Times New Roman" w:hAnsi="Times New Roman"/>
          <w:b/>
          <w:bCs/>
          <w:szCs w:val="22"/>
        </w:rPr>
      </w:pPr>
    </w:p>
    <w:p w14:paraId="54777564" w14:textId="2209D1EF" w:rsidR="00745A59" w:rsidRPr="005F4823" w:rsidRDefault="00745A59" w:rsidP="005F4823">
      <w:pPr>
        <w:pStyle w:val="ListParagraph"/>
        <w:numPr>
          <w:ilvl w:val="0"/>
          <w:numId w:val="14"/>
        </w:numPr>
        <w:rPr>
          <w:rFonts w:ascii="Times New Roman" w:hAnsi="Times New Roman"/>
          <w:b/>
          <w:bCs/>
          <w:szCs w:val="22"/>
        </w:rPr>
      </w:pPr>
      <w:r w:rsidRPr="005F4823">
        <w:rPr>
          <w:rFonts w:ascii="Times New Roman" w:hAnsi="Times New Roman"/>
          <w:b/>
          <w:bCs/>
          <w:szCs w:val="22"/>
        </w:rPr>
        <w:t>Home Health Services Payment Rates</w:t>
      </w:r>
    </w:p>
    <w:p w14:paraId="3514F9D0" w14:textId="77777777" w:rsidR="005F4823" w:rsidRDefault="005F4823" w:rsidP="00E967B4">
      <w:pPr>
        <w:rPr>
          <w:rFonts w:ascii="Times New Roman" w:hAnsi="Times New Roman"/>
          <w:b/>
          <w:bCs/>
          <w:szCs w:val="22"/>
        </w:rPr>
      </w:pPr>
    </w:p>
    <w:p w14:paraId="7339DFB7" w14:textId="5F9E424D" w:rsidR="00E967B4" w:rsidRPr="00F2353F" w:rsidRDefault="00E967B4" w:rsidP="006D130C">
      <w:pPr>
        <w:pStyle w:val="ListParagraph"/>
        <w:numPr>
          <w:ilvl w:val="0"/>
          <w:numId w:val="36"/>
        </w:numPr>
        <w:rPr>
          <w:rFonts w:ascii="Times New Roman" w:hAnsi="Times New Roman"/>
          <w:szCs w:val="22"/>
        </w:rPr>
      </w:pPr>
      <w:r w:rsidRPr="00F2353F">
        <w:rPr>
          <w:rFonts w:ascii="Times New Roman" w:hAnsi="Times New Roman"/>
          <w:szCs w:val="22"/>
        </w:rPr>
        <w:t xml:space="preserve">CMS should postpone application of any </w:t>
      </w:r>
      <w:r w:rsidR="00B93B04">
        <w:rPr>
          <w:rFonts w:ascii="Times New Roman" w:hAnsi="Times New Roman"/>
          <w:szCs w:val="22"/>
        </w:rPr>
        <w:t xml:space="preserve">further </w:t>
      </w:r>
      <w:r w:rsidRPr="00F2353F">
        <w:rPr>
          <w:rFonts w:ascii="Times New Roman" w:hAnsi="Times New Roman"/>
          <w:szCs w:val="22"/>
        </w:rPr>
        <w:t>permanent adjustments related to PDGM budget neutrality to preserve current access to home health services and the scope of care available.</w:t>
      </w:r>
    </w:p>
    <w:p w14:paraId="0E486C9D" w14:textId="39AD269F" w:rsidR="00E967B4" w:rsidRPr="00F2353F" w:rsidRDefault="00E967B4" w:rsidP="006D130C">
      <w:pPr>
        <w:pStyle w:val="ListParagraph"/>
        <w:numPr>
          <w:ilvl w:val="0"/>
          <w:numId w:val="36"/>
        </w:numPr>
        <w:rPr>
          <w:rFonts w:ascii="Times New Roman" w:hAnsi="Times New Roman"/>
          <w:szCs w:val="22"/>
        </w:rPr>
      </w:pPr>
      <w:r w:rsidRPr="00F2353F">
        <w:rPr>
          <w:rFonts w:ascii="Times New Roman" w:hAnsi="Times New Roman"/>
          <w:szCs w:val="22"/>
        </w:rPr>
        <w:lastRenderedPageBreak/>
        <w:t>CMS should maintain its position to withhold any part of the PDGM budget neutrality temporary adjustments in 202</w:t>
      </w:r>
      <w:r w:rsidR="00B93B04">
        <w:rPr>
          <w:rFonts w:ascii="Times New Roman" w:hAnsi="Times New Roman"/>
          <w:szCs w:val="22"/>
        </w:rPr>
        <w:t>5</w:t>
      </w:r>
      <w:r w:rsidRPr="00F2353F">
        <w:rPr>
          <w:rFonts w:ascii="Times New Roman" w:hAnsi="Times New Roman"/>
          <w:szCs w:val="22"/>
        </w:rPr>
        <w:t>.</w:t>
      </w:r>
    </w:p>
    <w:p w14:paraId="0B7B83B4" w14:textId="62E975CB" w:rsidR="00E967B4" w:rsidRPr="00F2353F" w:rsidRDefault="00E967B4" w:rsidP="006D130C">
      <w:pPr>
        <w:pStyle w:val="ListParagraph"/>
        <w:numPr>
          <w:ilvl w:val="0"/>
          <w:numId w:val="36"/>
        </w:numPr>
        <w:rPr>
          <w:rFonts w:ascii="Times New Roman" w:hAnsi="Times New Roman"/>
          <w:szCs w:val="22"/>
        </w:rPr>
      </w:pPr>
      <w:r w:rsidRPr="00F2353F">
        <w:rPr>
          <w:rFonts w:ascii="Times New Roman" w:hAnsi="Times New Roman"/>
          <w:szCs w:val="22"/>
        </w:rPr>
        <w:t>CMS should recognize the disruptive</w:t>
      </w:r>
      <w:r w:rsidR="00B93B04">
        <w:rPr>
          <w:rFonts w:ascii="Times New Roman" w:hAnsi="Times New Roman"/>
          <w:szCs w:val="22"/>
        </w:rPr>
        <w:t xml:space="preserve">, continuing, </w:t>
      </w:r>
      <w:r w:rsidRPr="00F2353F">
        <w:rPr>
          <w:rFonts w:ascii="Times New Roman" w:hAnsi="Times New Roman"/>
          <w:szCs w:val="22"/>
        </w:rPr>
        <w:t>and permanent financial impact of its forecasting error with respect to the annual Market Basket Index updates from 2021 and 2022 and implement a one-time adjustment to account for the 5.2% forecasting error.</w:t>
      </w:r>
    </w:p>
    <w:p w14:paraId="1C783A81" w14:textId="3850DCF0" w:rsidR="00E967B4" w:rsidRPr="00F2353F" w:rsidRDefault="00E967B4" w:rsidP="006D130C">
      <w:pPr>
        <w:pStyle w:val="ListParagraph"/>
        <w:numPr>
          <w:ilvl w:val="0"/>
          <w:numId w:val="36"/>
        </w:numPr>
        <w:rPr>
          <w:rFonts w:ascii="Times New Roman" w:hAnsi="Times New Roman"/>
          <w:szCs w:val="22"/>
        </w:rPr>
      </w:pPr>
      <w:r w:rsidRPr="00F2353F">
        <w:rPr>
          <w:rFonts w:ascii="Times New Roman" w:hAnsi="Times New Roman"/>
          <w:szCs w:val="22"/>
        </w:rPr>
        <w:t>CMS should consider the negative and disruptive financial impacts of its proposed wage index changes and case mix weight recalibrations on care access as it finalizes the 202</w:t>
      </w:r>
      <w:r w:rsidR="00A26A18">
        <w:rPr>
          <w:rFonts w:ascii="Times New Roman" w:hAnsi="Times New Roman"/>
          <w:szCs w:val="22"/>
        </w:rPr>
        <w:t>5</w:t>
      </w:r>
      <w:r w:rsidRPr="00F2353F">
        <w:rPr>
          <w:rFonts w:ascii="Times New Roman" w:hAnsi="Times New Roman"/>
          <w:szCs w:val="22"/>
        </w:rPr>
        <w:t xml:space="preserve"> payment rates and any systemic reforms.</w:t>
      </w:r>
    </w:p>
    <w:p w14:paraId="4B691D7C" w14:textId="77777777" w:rsidR="00E967B4" w:rsidRPr="00F2353F" w:rsidRDefault="00E967B4" w:rsidP="00BA2F2C">
      <w:pPr>
        <w:ind w:left="360"/>
        <w:rPr>
          <w:rFonts w:ascii="Times New Roman" w:hAnsi="Times New Roman"/>
          <w:szCs w:val="22"/>
        </w:rPr>
      </w:pPr>
      <w:r w:rsidRPr="00F2353F">
        <w:rPr>
          <w:rFonts w:ascii="Times New Roman" w:hAnsi="Times New Roman"/>
          <w:szCs w:val="22"/>
        </w:rPr>
        <w:t xml:space="preserve">    </w:t>
      </w:r>
    </w:p>
    <w:p w14:paraId="3F89EA3C" w14:textId="77777777" w:rsidR="00E65D76" w:rsidRPr="0027010A" w:rsidRDefault="00E65D76">
      <w:pPr>
        <w:rPr>
          <w:rFonts w:ascii="Times New Roman" w:hAnsi="Times New Roman"/>
          <w:b/>
          <w:bCs/>
        </w:rPr>
      </w:pPr>
    </w:p>
    <w:p w14:paraId="0ECCDC64" w14:textId="02300BCB" w:rsidR="00132EEB" w:rsidRDefault="00981982" w:rsidP="00132EEB">
      <w:pPr>
        <w:spacing w:after="160" w:line="259" w:lineRule="auto"/>
        <w:ind w:left="360"/>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B.</w:t>
      </w:r>
    </w:p>
    <w:p w14:paraId="42BE9E93" w14:textId="28802ACC" w:rsidR="00981982" w:rsidRDefault="00981982" w:rsidP="00132EEB">
      <w:pPr>
        <w:spacing w:after="160" w:line="259" w:lineRule="auto"/>
        <w:ind w:left="360"/>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C.</w:t>
      </w:r>
    </w:p>
    <w:p w14:paraId="2B400EB0" w14:textId="78DB20FE" w:rsidR="00981982" w:rsidRPr="00132EEB" w:rsidRDefault="00981982" w:rsidP="00132EEB">
      <w:pPr>
        <w:spacing w:after="160" w:line="259" w:lineRule="auto"/>
        <w:ind w:left="360"/>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D.</w:t>
      </w:r>
    </w:p>
    <w:p w14:paraId="7D3B507F" w14:textId="339CDD60" w:rsidR="001C7855" w:rsidRPr="00474720" w:rsidRDefault="001C7855" w:rsidP="00474720">
      <w:pPr>
        <w:spacing w:after="160" w:line="259" w:lineRule="auto"/>
        <w:ind w:left="1080"/>
        <w:rPr>
          <w:rFonts w:ascii="Times New Roman" w:eastAsiaTheme="minorHAnsi" w:hAnsi="Times New Roman"/>
          <w:b/>
          <w:bCs/>
          <w:kern w:val="2"/>
          <w:szCs w:val="22"/>
          <w14:ligatures w14:val="standardContextual"/>
        </w:rPr>
      </w:pPr>
    </w:p>
    <w:p w14:paraId="1C1C2A96" w14:textId="78609141" w:rsidR="00620236" w:rsidRDefault="00620236" w:rsidP="00474720">
      <w:pPr>
        <w:spacing w:after="160" w:line="259" w:lineRule="auto"/>
        <w:ind w:left="360"/>
        <w:rPr>
          <w:rFonts w:ascii="Times New Roman" w:eastAsiaTheme="minorHAnsi" w:hAnsi="Times New Roman"/>
          <w:kern w:val="2"/>
          <w:szCs w:val="22"/>
          <w14:ligatures w14:val="standardContextual"/>
        </w:rPr>
      </w:pPr>
    </w:p>
    <w:p w14:paraId="337CBA62" w14:textId="77777777" w:rsidR="00292A7A" w:rsidRDefault="00292A7A">
      <w:pPr>
        <w:rPr>
          <w:rFonts w:ascii="Times New Roman" w:hAnsi="Times New Roman"/>
          <w:b/>
          <w:bCs/>
        </w:rPr>
      </w:pPr>
    </w:p>
    <w:p w14:paraId="4E873FD5" w14:textId="77777777" w:rsidR="00292A7A" w:rsidRDefault="00292A7A">
      <w:pPr>
        <w:rPr>
          <w:rFonts w:ascii="Times New Roman" w:hAnsi="Times New Roman"/>
          <w:b/>
          <w:bCs/>
        </w:rPr>
      </w:pPr>
    </w:p>
    <w:p w14:paraId="21FF8161" w14:textId="11F188AE" w:rsidR="00292A7A" w:rsidRDefault="00F84F39" w:rsidP="0084582A">
      <w:pPr>
        <w:ind w:firstLine="720"/>
        <w:rPr>
          <w:rFonts w:ascii="Times New Roman" w:hAnsi="Times New Roman"/>
          <w:b/>
          <w:bCs/>
        </w:rPr>
      </w:pPr>
      <w:r>
        <w:rPr>
          <w:rFonts w:ascii="Times New Roman" w:hAnsi="Times New Roman"/>
          <w:b/>
          <w:bCs/>
        </w:rPr>
        <w:t xml:space="preserve">SPECIFIC </w:t>
      </w:r>
      <w:r w:rsidR="00C77D35">
        <w:rPr>
          <w:rFonts w:ascii="Times New Roman" w:hAnsi="Times New Roman"/>
          <w:b/>
          <w:bCs/>
        </w:rPr>
        <w:t>COMMENTS ON PROPOSED RULE AND POLICY CHANGES</w:t>
      </w:r>
    </w:p>
    <w:p w14:paraId="164C1F6D" w14:textId="77777777" w:rsidR="00292A7A" w:rsidRDefault="00292A7A">
      <w:pPr>
        <w:rPr>
          <w:rFonts w:ascii="Times New Roman" w:hAnsi="Times New Roman"/>
          <w:b/>
          <w:bCs/>
        </w:rPr>
      </w:pPr>
    </w:p>
    <w:p w14:paraId="4117BD80" w14:textId="77777777" w:rsidR="00292A7A" w:rsidRDefault="00292A7A">
      <w:pPr>
        <w:rPr>
          <w:rFonts w:ascii="Times New Roman" w:hAnsi="Times New Roman"/>
          <w:b/>
          <w:bCs/>
        </w:rPr>
      </w:pPr>
    </w:p>
    <w:p w14:paraId="74BB0C2A" w14:textId="2C058961" w:rsidR="0082739C" w:rsidRDefault="006D7E10">
      <w:pPr>
        <w:rPr>
          <w:rFonts w:ascii="Times New Roman" w:hAnsi="Times New Roman"/>
          <w:b/>
          <w:bCs/>
        </w:rPr>
      </w:pPr>
      <w:r>
        <w:rPr>
          <w:rFonts w:ascii="Times New Roman" w:hAnsi="Times New Roman"/>
          <w:b/>
          <w:bCs/>
        </w:rPr>
        <w:t>T</w:t>
      </w:r>
      <w:r w:rsidR="00E65D76" w:rsidRPr="0027010A">
        <w:rPr>
          <w:rFonts w:ascii="Times New Roman" w:hAnsi="Times New Roman"/>
          <w:b/>
          <w:bCs/>
        </w:rPr>
        <w:t>he Proposed Payment Rate Cuts Further Exacerbate</w:t>
      </w:r>
      <w:r w:rsidR="0027010A" w:rsidRPr="0027010A">
        <w:rPr>
          <w:rFonts w:ascii="Times New Roman" w:hAnsi="Times New Roman"/>
          <w:b/>
          <w:bCs/>
        </w:rPr>
        <w:t xml:space="preserve"> Significant Care Access Barriers for Patients</w:t>
      </w:r>
      <w:r w:rsidR="0082739C" w:rsidRPr="0027010A">
        <w:rPr>
          <w:rFonts w:ascii="Times New Roman" w:hAnsi="Times New Roman"/>
          <w:b/>
          <w:bCs/>
        </w:rPr>
        <w:t xml:space="preserve"> </w:t>
      </w:r>
      <w:r w:rsidR="00835FA9">
        <w:rPr>
          <w:rFonts w:ascii="Times New Roman" w:hAnsi="Times New Roman"/>
          <w:b/>
          <w:bCs/>
        </w:rPr>
        <w:t xml:space="preserve">and Will Bring the Home Health Benefit </w:t>
      </w:r>
      <w:r w:rsidR="00251B26">
        <w:rPr>
          <w:rFonts w:ascii="Times New Roman" w:hAnsi="Times New Roman"/>
          <w:b/>
          <w:bCs/>
        </w:rPr>
        <w:t>to a Point of Crisis</w:t>
      </w:r>
      <w:r w:rsidR="0082739C" w:rsidRPr="0027010A">
        <w:rPr>
          <w:rFonts w:ascii="Times New Roman" w:hAnsi="Times New Roman"/>
          <w:b/>
          <w:bCs/>
        </w:rPr>
        <w:t xml:space="preserve"> </w:t>
      </w:r>
    </w:p>
    <w:p w14:paraId="50C90F82" w14:textId="77777777" w:rsidR="0027010A" w:rsidRDefault="0027010A">
      <w:pPr>
        <w:rPr>
          <w:rFonts w:ascii="Times New Roman" w:hAnsi="Times New Roman"/>
          <w:b/>
          <w:bCs/>
        </w:rPr>
      </w:pPr>
    </w:p>
    <w:p w14:paraId="7B46E8F3" w14:textId="50CA0B60" w:rsidR="00D82593" w:rsidRDefault="008172AC" w:rsidP="00AB1332">
      <w:pPr>
        <w:ind w:firstLine="720"/>
        <w:rPr>
          <w:rFonts w:ascii="Times New Roman" w:hAnsi="Times New Roman"/>
        </w:rPr>
      </w:pPr>
      <w:r>
        <w:rPr>
          <w:rFonts w:ascii="Times New Roman" w:hAnsi="Times New Roman"/>
        </w:rPr>
        <w:t xml:space="preserve">For several years, </w:t>
      </w:r>
      <w:r w:rsidR="002F21C2">
        <w:rPr>
          <w:rFonts w:ascii="Times New Roman" w:hAnsi="Times New Roman"/>
        </w:rPr>
        <w:t xml:space="preserve">Medicare </w:t>
      </w:r>
      <w:r w:rsidR="00D53E08">
        <w:rPr>
          <w:rFonts w:ascii="Times New Roman" w:hAnsi="Times New Roman"/>
        </w:rPr>
        <w:t xml:space="preserve">payment </w:t>
      </w:r>
      <w:r w:rsidR="002F21C2">
        <w:rPr>
          <w:rFonts w:ascii="Times New Roman" w:hAnsi="Times New Roman"/>
        </w:rPr>
        <w:t>policies have seriously dimi</w:t>
      </w:r>
      <w:r w:rsidR="00D53E08">
        <w:rPr>
          <w:rFonts w:ascii="Times New Roman" w:hAnsi="Times New Roman"/>
        </w:rPr>
        <w:t>ni</w:t>
      </w:r>
      <w:r w:rsidR="002F21C2">
        <w:rPr>
          <w:rFonts w:ascii="Times New Roman" w:hAnsi="Times New Roman"/>
        </w:rPr>
        <w:t xml:space="preserve">shed the </w:t>
      </w:r>
      <w:r w:rsidR="00D53E08">
        <w:rPr>
          <w:rFonts w:ascii="Times New Roman" w:hAnsi="Times New Roman"/>
        </w:rPr>
        <w:t xml:space="preserve">Medicare home health benefit. Concurrent with rate reductions, </w:t>
      </w:r>
      <w:r w:rsidR="00225095">
        <w:rPr>
          <w:rFonts w:ascii="Times New Roman" w:hAnsi="Times New Roman"/>
        </w:rPr>
        <w:t>payment model changes, case mix weight recalibrations,</w:t>
      </w:r>
      <w:r w:rsidR="008B03AB">
        <w:rPr>
          <w:rFonts w:ascii="Times New Roman" w:hAnsi="Times New Roman"/>
        </w:rPr>
        <w:t xml:space="preserve"> </w:t>
      </w:r>
      <w:r w:rsidR="004A4FF8">
        <w:rPr>
          <w:rFonts w:ascii="Times New Roman" w:hAnsi="Times New Roman"/>
        </w:rPr>
        <w:t xml:space="preserve">and </w:t>
      </w:r>
      <w:r w:rsidR="008B03AB">
        <w:rPr>
          <w:rFonts w:ascii="Times New Roman" w:hAnsi="Times New Roman"/>
        </w:rPr>
        <w:t>inaccurate cost inflation forecasts</w:t>
      </w:r>
      <w:r w:rsidR="004A4FF8">
        <w:rPr>
          <w:rFonts w:ascii="Times New Roman" w:hAnsi="Times New Roman"/>
        </w:rPr>
        <w:t xml:space="preserve"> there </w:t>
      </w:r>
      <w:r w:rsidR="0027633D">
        <w:rPr>
          <w:rFonts w:ascii="Times New Roman" w:hAnsi="Times New Roman"/>
        </w:rPr>
        <w:t>continues to be</w:t>
      </w:r>
      <w:r w:rsidR="004A4FF8">
        <w:rPr>
          <w:rFonts w:ascii="Times New Roman" w:hAnsi="Times New Roman"/>
        </w:rPr>
        <w:t xml:space="preserve"> a corresponding </w:t>
      </w:r>
      <w:r w:rsidR="002907A2">
        <w:rPr>
          <w:rFonts w:ascii="Times New Roman" w:hAnsi="Times New Roman"/>
        </w:rPr>
        <w:t xml:space="preserve">dilution of the home health benefit resulting </w:t>
      </w:r>
      <w:r w:rsidR="00B35424">
        <w:rPr>
          <w:rFonts w:ascii="Times New Roman" w:hAnsi="Times New Roman"/>
        </w:rPr>
        <w:t xml:space="preserve">in a significant, negative </w:t>
      </w:r>
      <w:r w:rsidR="002907A2">
        <w:rPr>
          <w:rFonts w:ascii="Times New Roman" w:hAnsi="Times New Roman"/>
        </w:rPr>
        <w:t>impact on care access</w:t>
      </w:r>
      <w:r w:rsidR="00F84033">
        <w:rPr>
          <w:rFonts w:ascii="Times New Roman" w:hAnsi="Times New Roman"/>
        </w:rPr>
        <w:t xml:space="preserve">. </w:t>
      </w:r>
      <w:r w:rsidR="0027633D">
        <w:rPr>
          <w:rFonts w:ascii="Times New Roman" w:hAnsi="Times New Roman"/>
        </w:rPr>
        <w:t xml:space="preserve"> The Alliance forecast this</w:t>
      </w:r>
      <w:r w:rsidR="008F51FB">
        <w:rPr>
          <w:rFonts w:ascii="Times New Roman" w:hAnsi="Times New Roman"/>
        </w:rPr>
        <w:t xml:space="preserve"> outcome in it CY2020 comments with added support for the contention each year thereafter. While CMS </w:t>
      </w:r>
      <w:r w:rsidR="00C03FD7">
        <w:rPr>
          <w:rFonts w:ascii="Times New Roman" w:hAnsi="Times New Roman"/>
        </w:rPr>
        <w:t xml:space="preserve">thankfully responded to those concerns by withholding any </w:t>
      </w:r>
      <w:r w:rsidR="00723F0A">
        <w:rPr>
          <w:rFonts w:ascii="Times New Roman" w:hAnsi="Times New Roman"/>
        </w:rPr>
        <w:t>application of the growing temporary adjustments along with a reduced permanent adjustment in CY 2023 and CY 2024</w:t>
      </w:r>
      <w:r w:rsidR="000C3355">
        <w:rPr>
          <w:rFonts w:ascii="Times New Roman" w:hAnsi="Times New Roman"/>
        </w:rPr>
        <w:t>, the deterioration of the benefit and access to it still continues.</w:t>
      </w:r>
      <w:r w:rsidR="008B3572">
        <w:rPr>
          <w:rFonts w:ascii="Times New Roman" w:hAnsi="Times New Roman"/>
        </w:rPr>
        <w:t xml:space="preserve"> </w:t>
      </w:r>
      <w:r w:rsidR="00603461">
        <w:rPr>
          <w:rFonts w:ascii="Times New Roman" w:hAnsi="Times New Roman"/>
        </w:rPr>
        <w:t xml:space="preserve">The outcome has been startling with several hundred thousand </w:t>
      </w:r>
      <w:r w:rsidR="0059216A">
        <w:rPr>
          <w:rFonts w:ascii="Times New Roman" w:hAnsi="Times New Roman"/>
        </w:rPr>
        <w:t xml:space="preserve">less </w:t>
      </w:r>
      <w:r w:rsidR="00603461">
        <w:rPr>
          <w:rFonts w:ascii="Times New Roman" w:hAnsi="Times New Roman"/>
        </w:rPr>
        <w:t>Medicare ben</w:t>
      </w:r>
      <w:r w:rsidR="0085256B">
        <w:rPr>
          <w:rFonts w:ascii="Times New Roman" w:hAnsi="Times New Roman"/>
        </w:rPr>
        <w:t>e</w:t>
      </w:r>
      <w:r w:rsidR="00603461">
        <w:rPr>
          <w:rFonts w:ascii="Times New Roman" w:hAnsi="Times New Roman"/>
        </w:rPr>
        <w:t>ficia</w:t>
      </w:r>
      <w:r w:rsidR="0085256B">
        <w:rPr>
          <w:rFonts w:ascii="Times New Roman" w:hAnsi="Times New Roman"/>
        </w:rPr>
        <w:t>r</w:t>
      </w:r>
      <w:r w:rsidR="00603461">
        <w:rPr>
          <w:rFonts w:ascii="Times New Roman" w:hAnsi="Times New Roman"/>
        </w:rPr>
        <w:t xml:space="preserve">ies </w:t>
      </w:r>
      <w:r w:rsidR="0059216A">
        <w:rPr>
          <w:rFonts w:ascii="Times New Roman" w:hAnsi="Times New Roman"/>
        </w:rPr>
        <w:t xml:space="preserve">annually </w:t>
      </w:r>
      <w:r w:rsidR="00603461">
        <w:rPr>
          <w:rFonts w:ascii="Times New Roman" w:hAnsi="Times New Roman"/>
        </w:rPr>
        <w:t>using home health services</w:t>
      </w:r>
      <w:r w:rsidR="0085256B">
        <w:rPr>
          <w:rFonts w:ascii="Times New Roman" w:hAnsi="Times New Roman"/>
        </w:rPr>
        <w:t>, le</w:t>
      </w:r>
      <w:r w:rsidR="00523826">
        <w:rPr>
          <w:rFonts w:ascii="Times New Roman" w:hAnsi="Times New Roman"/>
        </w:rPr>
        <w:t>s</w:t>
      </w:r>
      <w:r w:rsidR="0085256B">
        <w:rPr>
          <w:rFonts w:ascii="Times New Roman" w:hAnsi="Times New Roman"/>
        </w:rPr>
        <w:t>s care provided to pati</w:t>
      </w:r>
      <w:r w:rsidR="00202778">
        <w:rPr>
          <w:rFonts w:ascii="Times New Roman" w:hAnsi="Times New Roman"/>
        </w:rPr>
        <w:t>e</w:t>
      </w:r>
      <w:r w:rsidR="0085256B">
        <w:rPr>
          <w:rFonts w:ascii="Times New Roman" w:hAnsi="Times New Roman"/>
        </w:rPr>
        <w:t>nts</w:t>
      </w:r>
      <w:r w:rsidR="00202778">
        <w:rPr>
          <w:rFonts w:ascii="Times New Roman" w:hAnsi="Times New Roman"/>
        </w:rPr>
        <w:t xml:space="preserve">, and fewer provider options. </w:t>
      </w:r>
      <w:r w:rsidR="00523826">
        <w:rPr>
          <w:rFonts w:ascii="Times New Roman" w:hAnsi="Times New Roman"/>
        </w:rPr>
        <w:t>Such dramatic</w:t>
      </w:r>
      <w:r w:rsidR="00202778">
        <w:rPr>
          <w:rFonts w:ascii="Times New Roman" w:hAnsi="Times New Roman"/>
        </w:rPr>
        <w:t xml:space="preserve"> </w:t>
      </w:r>
      <w:r w:rsidR="00523826">
        <w:rPr>
          <w:rFonts w:ascii="Times New Roman" w:hAnsi="Times New Roman"/>
        </w:rPr>
        <w:t>changes cannot be accounted for</w:t>
      </w:r>
      <w:r w:rsidR="003314F4">
        <w:rPr>
          <w:rFonts w:ascii="Times New Roman" w:hAnsi="Times New Roman"/>
        </w:rPr>
        <w:t xml:space="preserve"> </w:t>
      </w:r>
      <w:r w:rsidR="00DE260E">
        <w:rPr>
          <w:rFonts w:ascii="Times New Roman" w:hAnsi="Times New Roman"/>
        </w:rPr>
        <w:t>because of</w:t>
      </w:r>
      <w:r w:rsidR="003314F4">
        <w:rPr>
          <w:rFonts w:ascii="Times New Roman" w:hAnsi="Times New Roman"/>
        </w:rPr>
        <w:t xml:space="preserve"> oversight activities, marketplace changes, or the increased enrollment in Medicare Advantage plans as an alternative to traditional</w:t>
      </w:r>
      <w:r w:rsidR="002A7755">
        <w:rPr>
          <w:rFonts w:ascii="Times New Roman" w:hAnsi="Times New Roman"/>
        </w:rPr>
        <w:t xml:space="preserve"> Medicare enrollment</w:t>
      </w:r>
      <w:r w:rsidR="00F84033">
        <w:rPr>
          <w:rFonts w:ascii="Times New Roman" w:hAnsi="Times New Roman"/>
        </w:rPr>
        <w:t xml:space="preserve">. </w:t>
      </w:r>
      <w:r w:rsidR="00653C1F">
        <w:rPr>
          <w:rFonts w:ascii="Times New Roman" w:hAnsi="Times New Roman"/>
        </w:rPr>
        <w:t xml:space="preserve">This </w:t>
      </w:r>
      <w:r w:rsidR="008B3572">
        <w:rPr>
          <w:rFonts w:ascii="Times New Roman" w:hAnsi="Times New Roman"/>
        </w:rPr>
        <w:t xml:space="preserve">deterioration </w:t>
      </w:r>
      <w:r w:rsidR="00653C1F">
        <w:rPr>
          <w:rFonts w:ascii="Times New Roman" w:hAnsi="Times New Roman"/>
        </w:rPr>
        <w:t>is clearly displayed even in the limited data offered by MedPAC</w:t>
      </w:r>
      <w:r w:rsidR="004173DB">
        <w:rPr>
          <w:rFonts w:ascii="Times New Roman" w:hAnsi="Times New Roman"/>
        </w:rPr>
        <w:t xml:space="preserve"> and data routinely available to CMS.</w:t>
      </w:r>
    </w:p>
    <w:p w14:paraId="0DA06BFC" w14:textId="77777777" w:rsidR="00D82593" w:rsidRDefault="00D82593">
      <w:pPr>
        <w:rPr>
          <w:rFonts w:ascii="Times New Roman" w:hAnsi="Times New Roman"/>
        </w:rPr>
      </w:pPr>
    </w:p>
    <w:p w14:paraId="289EFB33" w14:textId="0D720F21" w:rsidR="00E72629" w:rsidRDefault="00D82593" w:rsidP="00AB1332">
      <w:pPr>
        <w:ind w:firstLine="720"/>
        <w:rPr>
          <w:rFonts w:ascii="Times New Roman" w:hAnsi="Times New Roman"/>
        </w:rPr>
      </w:pPr>
      <w:r>
        <w:rPr>
          <w:rFonts w:ascii="Times New Roman" w:hAnsi="Times New Roman"/>
        </w:rPr>
        <w:t xml:space="preserve">The </w:t>
      </w:r>
      <w:r w:rsidR="0084755D">
        <w:rPr>
          <w:rFonts w:ascii="Times New Roman" w:hAnsi="Times New Roman"/>
        </w:rPr>
        <w:t xml:space="preserve">2023 </w:t>
      </w:r>
      <w:r>
        <w:rPr>
          <w:rFonts w:ascii="Times New Roman" w:hAnsi="Times New Roman"/>
        </w:rPr>
        <w:t xml:space="preserve">MedPAC data </w:t>
      </w:r>
      <w:r w:rsidR="0084755D">
        <w:rPr>
          <w:rFonts w:ascii="Times New Roman" w:hAnsi="Times New Roman"/>
        </w:rPr>
        <w:t xml:space="preserve">analysis </w:t>
      </w:r>
      <w:r>
        <w:rPr>
          <w:rFonts w:ascii="Times New Roman" w:hAnsi="Times New Roman"/>
        </w:rPr>
        <w:t xml:space="preserve">shows a decline of 400,000 home health users between 2017 and 2021. </w:t>
      </w:r>
      <w:r w:rsidR="003B433E">
        <w:rPr>
          <w:rFonts w:ascii="Times New Roman" w:hAnsi="Times New Roman"/>
        </w:rPr>
        <w:t xml:space="preserve">In-person visits </w:t>
      </w:r>
      <w:r w:rsidR="00625E92">
        <w:rPr>
          <w:rFonts w:ascii="Times New Roman" w:hAnsi="Times New Roman"/>
        </w:rPr>
        <w:t xml:space="preserve">per user </w:t>
      </w:r>
      <w:r w:rsidR="003B433E">
        <w:rPr>
          <w:rFonts w:ascii="Times New Roman" w:hAnsi="Times New Roman"/>
        </w:rPr>
        <w:t xml:space="preserve">declined by </w:t>
      </w:r>
      <w:r w:rsidR="00AF0752">
        <w:rPr>
          <w:rFonts w:ascii="Times New Roman" w:hAnsi="Times New Roman"/>
        </w:rPr>
        <w:t>over 17%</w:t>
      </w:r>
      <w:r w:rsidR="00625E92">
        <w:rPr>
          <w:rFonts w:ascii="Times New Roman" w:hAnsi="Times New Roman"/>
        </w:rPr>
        <w:t xml:space="preserve"> from 30.7 to 25.4. </w:t>
      </w:r>
      <w:r w:rsidR="00F97205">
        <w:rPr>
          <w:rFonts w:ascii="Times New Roman" w:hAnsi="Times New Roman"/>
        </w:rPr>
        <w:t xml:space="preserve"> Active HHAs fell by 1,232</w:t>
      </w:r>
      <w:r w:rsidR="008014AF">
        <w:rPr>
          <w:rFonts w:ascii="Times New Roman" w:hAnsi="Times New Roman"/>
        </w:rPr>
        <w:t xml:space="preserve"> from 2016-2021. </w:t>
      </w:r>
      <w:r w:rsidR="00CF1AD3">
        <w:rPr>
          <w:rFonts w:ascii="Times New Roman" w:hAnsi="Times New Roman"/>
        </w:rPr>
        <w:t xml:space="preserve">The </w:t>
      </w:r>
      <w:r w:rsidR="00134690">
        <w:rPr>
          <w:rFonts w:ascii="Times New Roman" w:hAnsi="Times New Roman"/>
        </w:rPr>
        <w:t>active provider numbers continue to decline to date</w:t>
      </w:r>
      <w:r w:rsidR="00691341">
        <w:rPr>
          <w:rFonts w:ascii="Times New Roman" w:hAnsi="Times New Roman"/>
        </w:rPr>
        <w:t>,</w:t>
      </w:r>
      <w:r w:rsidR="00134690">
        <w:rPr>
          <w:rFonts w:ascii="Times New Roman" w:hAnsi="Times New Roman"/>
        </w:rPr>
        <w:t xml:space="preserve"> </w:t>
      </w:r>
      <w:r w:rsidR="00065272">
        <w:rPr>
          <w:rFonts w:ascii="Times New Roman" w:hAnsi="Times New Roman"/>
        </w:rPr>
        <w:t>except for</w:t>
      </w:r>
      <w:r w:rsidR="00E71844">
        <w:rPr>
          <w:rFonts w:ascii="Times New Roman" w:hAnsi="Times New Roman"/>
        </w:rPr>
        <w:t xml:space="preserve"> California where program integrity issues have been raised.</w:t>
      </w:r>
      <w:r w:rsidR="00134690">
        <w:rPr>
          <w:rFonts w:ascii="Times New Roman" w:hAnsi="Times New Roman"/>
        </w:rPr>
        <w:t xml:space="preserve"> </w:t>
      </w:r>
      <w:r w:rsidR="00691341" w:rsidRPr="00E91F23">
        <w:rPr>
          <w:rFonts w:ascii="Times New Roman" w:hAnsi="Times New Roman"/>
          <w:b/>
          <w:bCs/>
        </w:rPr>
        <w:t>This</w:t>
      </w:r>
      <w:r w:rsidR="00E91F23" w:rsidRPr="00E91F23">
        <w:rPr>
          <w:rFonts w:ascii="Times New Roman" w:hAnsi="Times New Roman"/>
          <w:b/>
          <w:bCs/>
        </w:rPr>
        <w:t xml:space="preserve"> data do</w:t>
      </w:r>
      <w:r w:rsidR="00691341">
        <w:rPr>
          <w:rFonts w:ascii="Times New Roman" w:hAnsi="Times New Roman"/>
          <w:b/>
          <w:bCs/>
        </w:rPr>
        <w:t>es</w:t>
      </w:r>
      <w:r w:rsidR="00E91F23" w:rsidRPr="00E91F23">
        <w:rPr>
          <w:rFonts w:ascii="Times New Roman" w:hAnsi="Times New Roman"/>
          <w:b/>
          <w:bCs/>
        </w:rPr>
        <w:t xml:space="preserve"> not depict a stable home health benefit in any </w:t>
      </w:r>
      <w:r w:rsidR="00015F59" w:rsidRPr="00E91F23">
        <w:rPr>
          <w:rFonts w:ascii="Times New Roman" w:hAnsi="Times New Roman"/>
          <w:b/>
          <w:bCs/>
        </w:rPr>
        <w:t>form</w:t>
      </w:r>
      <w:r w:rsidR="00F84033" w:rsidRPr="00E91F23">
        <w:rPr>
          <w:rFonts w:ascii="Times New Roman" w:hAnsi="Times New Roman"/>
          <w:b/>
          <w:bCs/>
        </w:rPr>
        <w:t>.</w:t>
      </w:r>
      <w:r w:rsidR="00F84033">
        <w:rPr>
          <w:rFonts w:ascii="Times New Roman" w:hAnsi="Times New Roman"/>
        </w:rPr>
        <w:t xml:space="preserve"> </w:t>
      </w:r>
    </w:p>
    <w:p w14:paraId="053C4B5E" w14:textId="77777777" w:rsidR="00D75AD7" w:rsidRDefault="00D75AD7" w:rsidP="00AB1332">
      <w:pPr>
        <w:ind w:firstLine="720"/>
        <w:rPr>
          <w:rFonts w:ascii="Times New Roman" w:hAnsi="Times New Roman"/>
        </w:rPr>
      </w:pPr>
    </w:p>
    <w:p w14:paraId="012BFFC0" w14:textId="77777777" w:rsidR="00E428C3" w:rsidRDefault="0084755D" w:rsidP="004A3A5A">
      <w:pPr>
        <w:ind w:firstLine="720"/>
        <w:rPr>
          <w:rFonts w:ascii="Times New Roman" w:hAnsi="Times New Roman"/>
        </w:rPr>
      </w:pPr>
      <w:r>
        <w:rPr>
          <w:rFonts w:ascii="Times New Roman" w:hAnsi="Times New Roman"/>
        </w:rPr>
        <w:t xml:space="preserve">As predicted by the Alliance in its </w:t>
      </w:r>
      <w:r w:rsidR="00D75AD7">
        <w:rPr>
          <w:rFonts w:ascii="Times New Roman" w:hAnsi="Times New Roman"/>
        </w:rPr>
        <w:t xml:space="preserve">earlier </w:t>
      </w:r>
      <w:r>
        <w:rPr>
          <w:rFonts w:ascii="Times New Roman" w:hAnsi="Times New Roman"/>
        </w:rPr>
        <w:t>PDGM comments, the data analysis</w:t>
      </w:r>
      <w:r w:rsidR="00DD138A">
        <w:rPr>
          <w:rFonts w:ascii="Times New Roman" w:hAnsi="Times New Roman"/>
        </w:rPr>
        <w:t xml:space="preserve"> shows a continuing decline in home health users, in-person visits</w:t>
      </w:r>
      <w:r w:rsidR="00C94176">
        <w:rPr>
          <w:rFonts w:ascii="Times New Roman" w:hAnsi="Times New Roman"/>
        </w:rPr>
        <w:t xml:space="preserve"> per user, and active HHAs. </w:t>
      </w:r>
      <w:r w:rsidR="00927C01" w:rsidRPr="009A113D">
        <w:rPr>
          <w:rFonts w:ascii="Times New Roman" w:hAnsi="Times New Roman"/>
          <w:b/>
          <w:bCs/>
        </w:rPr>
        <w:t xml:space="preserve">An ongoing pattern of </w:t>
      </w:r>
      <w:r w:rsidR="006E6777" w:rsidRPr="009A113D">
        <w:rPr>
          <w:rFonts w:ascii="Times New Roman" w:hAnsi="Times New Roman"/>
          <w:b/>
          <w:bCs/>
        </w:rPr>
        <w:t>loss of access to care cannot be ignored</w:t>
      </w:r>
      <w:r w:rsidR="00927C01" w:rsidRPr="009A113D">
        <w:rPr>
          <w:rFonts w:ascii="Times New Roman" w:hAnsi="Times New Roman"/>
          <w:b/>
          <w:bCs/>
        </w:rPr>
        <w:t xml:space="preserve"> </w:t>
      </w:r>
      <w:r w:rsidR="006E6777" w:rsidRPr="009A113D">
        <w:rPr>
          <w:rFonts w:ascii="Times New Roman" w:hAnsi="Times New Roman"/>
          <w:b/>
          <w:bCs/>
        </w:rPr>
        <w:t xml:space="preserve">by CMS, particularly when the obvious cause is the flawed payment model </w:t>
      </w:r>
      <w:r w:rsidR="000D5A59" w:rsidRPr="009A113D">
        <w:rPr>
          <w:rFonts w:ascii="Times New Roman" w:hAnsi="Times New Roman"/>
          <w:b/>
          <w:bCs/>
        </w:rPr>
        <w:t xml:space="preserve">established and </w:t>
      </w:r>
      <w:r w:rsidR="006E6777" w:rsidRPr="009A113D">
        <w:rPr>
          <w:rFonts w:ascii="Times New Roman" w:hAnsi="Times New Roman"/>
          <w:b/>
          <w:bCs/>
        </w:rPr>
        <w:t>introduced</w:t>
      </w:r>
      <w:r w:rsidR="000D5A59" w:rsidRPr="009A113D">
        <w:rPr>
          <w:rFonts w:ascii="Times New Roman" w:hAnsi="Times New Roman"/>
          <w:b/>
          <w:bCs/>
        </w:rPr>
        <w:t xml:space="preserve"> by CMS in 2020.</w:t>
      </w:r>
      <w:r w:rsidR="000D5A59">
        <w:rPr>
          <w:rFonts w:ascii="Times New Roman" w:hAnsi="Times New Roman"/>
        </w:rPr>
        <w:t xml:space="preserve"> An alternative explanation does not lie in </w:t>
      </w:r>
      <w:r w:rsidR="000D5A59">
        <w:rPr>
          <w:rFonts w:ascii="Times New Roman" w:hAnsi="Times New Roman"/>
        </w:rPr>
        <w:lastRenderedPageBreak/>
        <w:t>increased Medi</w:t>
      </w:r>
      <w:r w:rsidR="00F35382">
        <w:rPr>
          <w:rFonts w:ascii="Times New Roman" w:hAnsi="Times New Roman"/>
        </w:rPr>
        <w:t xml:space="preserve">care Advantage enrollment as the percentage of Medicare Fee-for-Service enrollees </w:t>
      </w:r>
      <w:r w:rsidR="00084590">
        <w:rPr>
          <w:rFonts w:ascii="Times New Roman" w:hAnsi="Times New Roman"/>
        </w:rPr>
        <w:t xml:space="preserve">using home health services is declining, not just the gross number of users. </w:t>
      </w:r>
      <w:r w:rsidR="00E52A02">
        <w:rPr>
          <w:rFonts w:ascii="Times New Roman" w:hAnsi="Times New Roman"/>
        </w:rPr>
        <w:t xml:space="preserve">Similarly, the explanation does not lie in a reduced inpatient population </w:t>
      </w:r>
      <w:r w:rsidR="007E5A12">
        <w:rPr>
          <w:rFonts w:ascii="Times New Roman" w:hAnsi="Times New Roman"/>
        </w:rPr>
        <w:t>as the majority of HHA admissions is from the community and those enrolle</w:t>
      </w:r>
      <w:r w:rsidR="00E67FA9">
        <w:rPr>
          <w:rFonts w:ascii="Times New Roman" w:hAnsi="Times New Roman"/>
        </w:rPr>
        <w:t>e</w:t>
      </w:r>
      <w:r w:rsidR="007E5A12">
        <w:rPr>
          <w:rFonts w:ascii="Times New Roman" w:hAnsi="Times New Roman"/>
        </w:rPr>
        <w:t xml:space="preserve">s </w:t>
      </w:r>
      <w:r w:rsidR="00E67FA9">
        <w:rPr>
          <w:rFonts w:ascii="Times New Roman" w:hAnsi="Times New Roman"/>
        </w:rPr>
        <w:t xml:space="preserve">that would have come from an inpatient stay to home health </w:t>
      </w:r>
      <w:r w:rsidR="00F83AD7">
        <w:rPr>
          <w:rFonts w:ascii="Times New Roman" w:hAnsi="Times New Roman"/>
        </w:rPr>
        <w:t xml:space="preserve">in the past still have health care needs even if they are </w:t>
      </w:r>
      <w:proofErr w:type="spellStart"/>
      <w:r w:rsidR="00F83AD7">
        <w:rPr>
          <w:rFonts w:ascii="Times New Roman" w:hAnsi="Times New Roman"/>
        </w:rPr>
        <w:t>no</w:t>
      </w:r>
      <w:proofErr w:type="spellEnd"/>
      <w:r w:rsidR="00F83AD7">
        <w:rPr>
          <w:rFonts w:ascii="Times New Roman" w:hAnsi="Times New Roman"/>
        </w:rPr>
        <w:t xml:space="preserve"> going to inpatient care. </w:t>
      </w:r>
      <w:r w:rsidR="0032788B">
        <w:rPr>
          <w:rFonts w:ascii="Times New Roman" w:hAnsi="Times New Roman"/>
        </w:rPr>
        <w:t xml:space="preserve">Finally, CMS cannot reasonably adopt the MedPAC view that there has been a reduction in use of home health </w:t>
      </w:r>
      <w:r w:rsidR="00D120E3">
        <w:rPr>
          <w:rFonts w:ascii="Times New Roman" w:hAnsi="Times New Roman"/>
        </w:rPr>
        <w:t>along with a declining number of HHAs since 2013 as the explanation</w:t>
      </w:r>
      <w:r w:rsidR="00A61558">
        <w:rPr>
          <w:rFonts w:ascii="Times New Roman" w:hAnsi="Times New Roman"/>
        </w:rPr>
        <w:t>. The institution of PDGM re</w:t>
      </w:r>
      <w:r w:rsidR="00E428C3">
        <w:rPr>
          <w:rFonts w:ascii="Times New Roman" w:hAnsi="Times New Roman"/>
        </w:rPr>
        <w:t>-</w:t>
      </w:r>
      <w:r w:rsidR="00A61558">
        <w:rPr>
          <w:rFonts w:ascii="Times New Roman" w:hAnsi="Times New Roman"/>
        </w:rPr>
        <w:t>triggered the ben</w:t>
      </w:r>
      <w:r w:rsidR="000163D8">
        <w:rPr>
          <w:rFonts w:ascii="Times New Roman" w:hAnsi="Times New Roman"/>
        </w:rPr>
        <w:t xml:space="preserve">efit deterioration that began with the Affordable Care Act’s rate rebasing mandate after just two years </w:t>
      </w:r>
      <w:r w:rsidR="009A113D">
        <w:rPr>
          <w:rFonts w:ascii="Times New Roman" w:hAnsi="Times New Roman"/>
        </w:rPr>
        <w:t xml:space="preserve">of </w:t>
      </w:r>
      <w:r w:rsidR="00451B5E">
        <w:rPr>
          <w:rFonts w:ascii="Times New Roman" w:hAnsi="Times New Roman"/>
        </w:rPr>
        <w:t>a</w:t>
      </w:r>
      <w:r w:rsidR="00E428C3">
        <w:rPr>
          <w:rFonts w:ascii="Times New Roman" w:hAnsi="Times New Roman"/>
        </w:rPr>
        <w:t xml:space="preserve"> </w:t>
      </w:r>
      <w:r w:rsidR="009A113D">
        <w:rPr>
          <w:rFonts w:ascii="Times New Roman" w:hAnsi="Times New Roman"/>
        </w:rPr>
        <w:t>modicum of</w:t>
      </w:r>
      <w:r w:rsidR="00E428C3">
        <w:rPr>
          <w:rFonts w:ascii="Times New Roman" w:hAnsi="Times New Roman"/>
        </w:rPr>
        <w:t xml:space="preserve"> “stability.” </w:t>
      </w:r>
    </w:p>
    <w:p w14:paraId="489FF21B" w14:textId="77777777" w:rsidR="00E428C3" w:rsidRDefault="00E428C3" w:rsidP="004A3A5A">
      <w:pPr>
        <w:ind w:firstLine="720"/>
        <w:rPr>
          <w:rFonts w:ascii="Times New Roman" w:hAnsi="Times New Roman"/>
        </w:rPr>
      </w:pPr>
    </w:p>
    <w:p w14:paraId="4AFD7593" w14:textId="77777777" w:rsidR="003A197B" w:rsidRDefault="00E428C3" w:rsidP="0082693F">
      <w:pPr>
        <w:ind w:firstLine="720"/>
        <w:rPr>
          <w:rFonts w:ascii="Times New Roman" w:hAnsi="Times New Roman"/>
        </w:rPr>
      </w:pPr>
      <w:r>
        <w:rPr>
          <w:rFonts w:ascii="Times New Roman" w:hAnsi="Times New Roman"/>
        </w:rPr>
        <w:t xml:space="preserve">All told, the PDGM era to date </w:t>
      </w:r>
      <w:r w:rsidR="003A197B">
        <w:rPr>
          <w:rFonts w:ascii="Times New Roman" w:hAnsi="Times New Roman"/>
        </w:rPr>
        <w:t>has shown a combination of:</w:t>
      </w:r>
    </w:p>
    <w:p w14:paraId="6E78A27B" w14:textId="77777777" w:rsidR="003A197B" w:rsidRDefault="003A197B" w:rsidP="0082693F">
      <w:pPr>
        <w:ind w:firstLine="720"/>
        <w:rPr>
          <w:rFonts w:ascii="Times New Roman" w:hAnsi="Times New Roman"/>
        </w:rPr>
      </w:pPr>
    </w:p>
    <w:p w14:paraId="2A4103EE" w14:textId="78945B1F" w:rsidR="00945D01" w:rsidRDefault="009A113D" w:rsidP="0082693F">
      <w:pPr>
        <w:ind w:firstLine="720"/>
        <w:rPr>
          <w:rFonts w:ascii="Times New Roman" w:hAnsi="Times New Roman"/>
        </w:rPr>
      </w:pPr>
      <w:r>
        <w:rPr>
          <w:rFonts w:ascii="Times New Roman" w:hAnsi="Times New Roman"/>
        </w:rPr>
        <w:t xml:space="preserve"> </w:t>
      </w:r>
    </w:p>
    <w:p w14:paraId="45999189" w14:textId="2858C8EF" w:rsidR="003D1275" w:rsidRDefault="004D780D" w:rsidP="0082693F">
      <w:pPr>
        <w:pStyle w:val="ListParagraph"/>
        <w:numPr>
          <w:ilvl w:val="0"/>
          <w:numId w:val="39"/>
        </w:numPr>
        <w:rPr>
          <w:rFonts w:ascii="Times New Roman" w:hAnsi="Times New Roman"/>
        </w:rPr>
      </w:pPr>
      <w:r>
        <w:rPr>
          <w:rFonts w:ascii="Times New Roman" w:hAnsi="Times New Roman"/>
        </w:rPr>
        <w:t>Nearly 500,000 fewer Medicare beneficiaries accessing home health services</w:t>
      </w:r>
    </w:p>
    <w:p w14:paraId="7DB798BE" w14:textId="534DDA53" w:rsidR="00A66F12" w:rsidRDefault="00551781" w:rsidP="0082693F">
      <w:pPr>
        <w:pStyle w:val="ListParagraph"/>
        <w:numPr>
          <w:ilvl w:val="0"/>
          <w:numId w:val="39"/>
        </w:numPr>
        <w:rPr>
          <w:rFonts w:ascii="Times New Roman" w:hAnsi="Times New Roman"/>
        </w:rPr>
      </w:pPr>
      <w:r>
        <w:rPr>
          <w:rFonts w:ascii="Times New Roman" w:hAnsi="Times New Roman"/>
        </w:rPr>
        <w:t xml:space="preserve">A 22,4% decline in the proportion of </w:t>
      </w:r>
      <w:r w:rsidR="00E31EB4">
        <w:rPr>
          <w:rFonts w:ascii="Times New Roman" w:hAnsi="Times New Roman"/>
        </w:rPr>
        <w:t>Medicare fee-for-service beneficiaries accessing home health services</w:t>
      </w:r>
    </w:p>
    <w:p w14:paraId="68D16F55" w14:textId="0E4AB147" w:rsidR="000A0BCF" w:rsidRDefault="00C0160B" w:rsidP="0082693F">
      <w:pPr>
        <w:pStyle w:val="ListParagraph"/>
        <w:numPr>
          <w:ilvl w:val="0"/>
          <w:numId w:val="39"/>
        </w:numPr>
        <w:rPr>
          <w:rFonts w:ascii="Times New Roman" w:hAnsi="Times New Roman"/>
        </w:rPr>
      </w:pPr>
      <w:r>
        <w:rPr>
          <w:rFonts w:ascii="Times New Roman" w:hAnsi="Times New Roman"/>
        </w:rPr>
        <w:t xml:space="preserve">A 9% nationwide reduction in active HHAs accessible to </w:t>
      </w:r>
      <w:r w:rsidR="000A0BCF">
        <w:rPr>
          <w:rFonts w:ascii="Times New Roman" w:hAnsi="Times New Roman"/>
        </w:rPr>
        <w:t>beneficiaries</w:t>
      </w:r>
    </w:p>
    <w:p w14:paraId="586E5E7A" w14:textId="53D11796" w:rsidR="000A0BCF" w:rsidRDefault="00EF65C6" w:rsidP="0082693F">
      <w:pPr>
        <w:pStyle w:val="ListParagraph"/>
        <w:numPr>
          <w:ilvl w:val="0"/>
          <w:numId w:val="39"/>
        </w:numPr>
        <w:rPr>
          <w:rFonts w:ascii="Times New Roman" w:hAnsi="Times New Roman"/>
        </w:rPr>
      </w:pPr>
      <w:r>
        <w:rPr>
          <w:rFonts w:ascii="Times New Roman" w:hAnsi="Times New Roman"/>
        </w:rPr>
        <w:t xml:space="preserve">A 15.6% </w:t>
      </w:r>
      <w:r w:rsidR="0082693F">
        <w:rPr>
          <w:rFonts w:ascii="Times New Roman" w:hAnsi="Times New Roman"/>
        </w:rPr>
        <w:t>reduction in the number of clinical visits in a 30-day period</w:t>
      </w:r>
    </w:p>
    <w:p w14:paraId="0C61D7FC" w14:textId="77777777" w:rsidR="0082693F" w:rsidRDefault="0082693F" w:rsidP="0082693F">
      <w:pPr>
        <w:rPr>
          <w:rFonts w:ascii="Times New Roman" w:hAnsi="Times New Roman"/>
        </w:rPr>
      </w:pPr>
    </w:p>
    <w:p w14:paraId="78EE4BA5" w14:textId="2957339E" w:rsidR="00252500" w:rsidRDefault="0082693F" w:rsidP="0082693F">
      <w:pPr>
        <w:rPr>
          <w:rFonts w:ascii="Times New Roman" w:hAnsi="Times New Roman"/>
        </w:rPr>
      </w:pPr>
      <w:r>
        <w:rPr>
          <w:rFonts w:ascii="Times New Roman" w:hAnsi="Times New Roman"/>
        </w:rPr>
        <w:t xml:space="preserve">These data </w:t>
      </w:r>
      <w:r w:rsidR="009A4D93">
        <w:rPr>
          <w:rFonts w:ascii="Times New Roman" w:hAnsi="Times New Roman"/>
        </w:rPr>
        <w:t xml:space="preserve">do not portray a budget neutral transition to PDGM. Instead, these data depict a crucial an essential benefit </w:t>
      </w:r>
      <w:r w:rsidR="005B6096">
        <w:rPr>
          <w:rFonts w:ascii="Times New Roman" w:hAnsi="Times New Roman"/>
        </w:rPr>
        <w:t xml:space="preserve">in </w:t>
      </w:r>
      <w:r w:rsidR="009A4D93">
        <w:rPr>
          <w:rFonts w:ascii="Times New Roman" w:hAnsi="Times New Roman"/>
        </w:rPr>
        <w:t>the Medicare program, one that ha</w:t>
      </w:r>
      <w:r w:rsidR="007C7E65">
        <w:rPr>
          <w:rFonts w:ascii="Times New Roman" w:hAnsi="Times New Roman"/>
        </w:rPr>
        <w:t>s demonstrated dynamic positive impact through cost and care avoidance, that is on a continuing downward path to</w:t>
      </w:r>
      <w:r w:rsidR="00252500">
        <w:rPr>
          <w:rFonts w:ascii="Times New Roman" w:hAnsi="Times New Roman"/>
        </w:rPr>
        <w:t xml:space="preserve"> being effectively dismantled. </w:t>
      </w:r>
    </w:p>
    <w:p w14:paraId="6573826D" w14:textId="77777777" w:rsidR="00252500" w:rsidRDefault="00252500" w:rsidP="0082693F">
      <w:pPr>
        <w:rPr>
          <w:rFonts w:ascii="Times New Roman" w:hAnsi="Times New Roman"/>
        </w:rPr>
      </w:pPr>
    </w:p>
    <w:p w14:paraId="25DC9446" w14:textId="77777777" w:rsidR="005B6096" w:rsidRDefault="00252500" w:rsidP="0082693F">
      <w:pPr>
        <w:rPr>
          <w:rFonts w:ascii="Times New Roman" w:hAnsi="Times New Roman"/>
        </w:rPr>
      </w:pPr>
      <w:r>
        <w:rPr>
          <w:rFonts w:ascii="Times New Roman" w:hAnsi="Times New Roman"/>
        </w:rPr>
        <w:t xml:space="preserve">The chart that follows shows that </w:t>
      </w:r>
      <w:r w:rsidR="005F23D0">
        <w:rPr>
          <w:rFonts w:ascii="Times New Roman" w:hAnsi="Times New Roman"/>
        </w:rPr>
        <w:t>fewer beneficiaries as a percentage of enrollees have accessed home health services in all</w:t>
      </w:r>
      <w:r w:rsidR="007175E6">
        <w:rPr>
          <w:rFonts w:ascii="Times New Roman" w:hAnsi="Times New Roman"/>
        </w:rPr>
        <w:t xml:space="preserve"> 50 states since the initiation of PDGM in 2020. </w:t>
      </w:r>
      <w:r w:rsidR="00ED3032">
        <w:rPr>
          <w:rFonts w:ascii="Times New Roman" w:hAnsi="Times New Roman"/>
        </w:rPr>
        <w:t>This should concern every Medicare enrollee, particularly as the US population ages overall</w:t>
      </w:r>
      <w:r w:rsidR="007766AD">
        <w:rPr>
          <w:rFonts w:ascii="Times New Roman" w:hAnsi="Times New Roman"/>
        </w:rPr>
        <w:t xml:space="preserve"> while consumers increasingly express a very strong desire to age in place with health care services in their own homes. </w:t>
      </w:r>
      <w:r w:rsidR="00FA03BD">
        <w:rPr>
          <w:rFonts w:ascii="Times New Roman" w:hAnsi="Times New Roman"/>
        </w:rPr>
        <w:t xml:space="preserve">It should also concern CMS as Medicare heads towards significant financial challenges </w:t>
      </w:r>
      <w:r w:rsidR="00EA3217">
        <w:rPr>
          <w:rFonts w:ascii="Times New Roman" w:hAnsi="Times New Roman"/>
        </w:rPr>
        <w:t xml:space="preserve">with its ongoing reliance on inpatient and institutional care. </w:t>
      </w:r>
      <w:r w:rsidR="00D67722">
        <w:rPr>
          <w:rFonts w:ascii="Times New Roman" w:hAnsi="Times New Roman"/>
        </w:rPr>
        <w:t xml:space="preserve">It is time for CMS to recognize, in its practices, what it has conveyed regarding the Home health Value Based Purchasing </w:t>
      </w:r>
      <w:r w:rsidR="0083585E">
        <w:rPr>
          <w:rFonts w:ascii="Times New Roman" w:hAnsi="Times New Roman"/>
        </w:rPr>
        <w:t>demonstration program—</w:t>
      </w:r>
      <w:r w:rsidR="005B6096">
        <w:rPr>
          <w:rFonts w:ascii="Times New Roman" w:hAnsi="Times New Roman"/>
        </w:rPr>
        <w:t>home health</w:t>
      </w:r>
      <w:r w:rsidR="0083585E">
        <w:rPr>
          <w:rFonts w:ascii="Times New Roman" w:hAnsi="Times New Roman"/>
        </w:rPr>
        <w:t xml:space="preserve"> services reduce overall Medicare expenditures</w:t>
      </w:r>
      <w:r w:rsidR="00E37C6A">
        <w:rPr>
          <w:rFonts w:ascii="Times New Roman" w:hAnsi="Times New Roman"/>
        </w:rPr>
        <w:t xml:space="preserve">—when used. </w:t>
      </w:r>
    </w:p>
    <w:p w14:paraId="34E31EBA" w14:textId="77777777" w:rsidR="00F43934" w:rsidRDefault="00F43934" w:rsidP="0082693F">
      <w:pPr>
        <w:rPr>
          <w:rFonts w:ascii="Times New Roman" w:hAnsi="Times New Roman"/>
        </w:rPr>
      </w:pPr>
    </w:p>
    <w:p w14:paraId="13F8845D" w14:textId="79552DBC" w:rsidR="0082693F" w:rsidRPr="0082693F" w:rsidRDefault="00F43934" w:rsidP="0082693F">
      <w:pPr>
        <w:rPr>
          <w:rFonts w:ascii="Times New Roman" w:hAnsi="Times New Roman"/>
        </w:rPr>
      </w:pPr>
      <w:r>
        <w:rPr>
          <w:rFonts w:ascii="Times New Roman" w:hAnsi="Times New Roman"/>
        </w:rPr>
        <w:t>The following data from the CMS Market Saturation Report</w:t>
      </w:r>
      <w:r w:rsidR="009A4D93">
        <w:rPr>
          <w:rFonts w:ascii="Times New Roman" w:hAnsi="Times New Roman"/>
        </w:rPr>
        <w:t xml:space="preserve"> </w:t>
      </w:r>
      <w:r w:rsidR="00B63F75">
        <w:rPr>
          <w:rFonts w:ascii="Times New Roman" w:hAnsi="Times New Roman"/>
        </w:rPr>
        <w:t xml:space="preserve">details the decline in home health utilization. CMS cannot ignore its own data and the obvious impact of PDGM during the </w:t>
      </w:r>
      <w:r w:rsidR="00D356EE">
        <w:rPr>
          <w:rFonts w:ascii="Times New Roman" w:hAnsi="Times New Roman"/>
        </w:rPr>
        <w:t xml:space="preserve">period </w:t>
      </w:r>
      <w:r w:rsidR="00B63F75">
        <w:rPr>
          <w:rFonts w:ascii="Times New Roman" w:hAnsi="Times New Roman"/>
        </w:rPr>
        <w:t xml:space="preserve">involved. </w:t>
      </w:r>
      <w:r w:rsidR="00D356EE">
        <w:rPr>
          <w:rFonts w:ascii="Times New Roman" w:hAnsi="Times New Roman"/>
        </w:rPr>
        <w:t>Coincidences are not simply happenstance.  Notably, both CMS and Congress recogniz</w:t>
      </w:r>
      <w:r w:rsidR="00765993">
        <w:rPr>
          <w:rFonts w:ascii="Times New Roman" w:hAnsi="Times New Roman"/>
        </w:rPr>
        <w:t>e</w:t>
      </w:r>
      <w:r w:rsidR="00D356EE">
        <w:rPr>
          <w:rFonts w:ascii="Times New Roman" w:hAnsi="Times New Roman"/>
        </w:rPr>
        <w:t>d</w:t>
      </w:r>
      <w:r w:rsidR="00765993">
        <w:rPr>
          <w:rFonts w:ascii="Times New Roman" w:hAnsi="Times New Roman"/>
        </w:rPr>
        <w:t xml:space="preserve"> that Medicare payment changes lead to provider behavior changes. These data</w:t>
      </w:r>
      <w:r w:rsidR="000C45DF">
        <w:rPr>
          <w:rFonts w:ascii="Times New Roman" w:hAnsi="Times New Roman"/>
        </w:rPr>
        <w:t xml:space="preserve"> support that assumption. Reduced payment rates have led to reduced care access and usage. </w:t>
      </w:r>
      <w:r w:rsidR="002A5056">
        <w:rPr>
          <w:rFonts w:ascii="Times New Roman" w:hAnsi="Times New Roman"/>
        </w:rPr>
        <w:t xml:space="preserve"> Correspondingly, </w:t>
      </w:r>
      <w:r w:rsidR="00A652D9">
        <w:rPr>
          <w:rFonts w:ascii="Times New Roman" w:hAnsi="Times New Roman"/>
        </w:rPr>
        <w:t xml:space="preserve">the proposed </w:t>
      </w:r>
      <w:r w:rsidR="002A5056">
        <w:rPr>
          <w:rFonts w:ascii="Times New Roman" w:hAnsi="Times New Roman"/>
        </w:rPr>
        <w:t>further reductions in payment r</w:t>
      </w:r>
      <w:r w:rsidR="00A652D9">
        <w:rPr>
          <w:rFonts w:ascii="Times New Roman" w:hAnsi="Times New Roman"/>
        </w:rPr>
        <w:t>a</w:t>
      </w:r>
      <w:r w:rsidR="002A5056">
        <w:rPr>
          <w:rFonts w:ascii="Times New Roman" w:hAnsi="Times New Roman"/>
        </w:rPr>
        <w:t>tes</w:t>
      </w:r>
      <w:r w:rsidR="00A652D9">
        <w:rPr>
          <w:rFonts w:ascii="Times New Roman" w:hAnsi="Times New Roman"/>
        </w:rPr>
        <w:t xml:space="preserve"> for CY2025 will lead to further reductions in care access and usage.</w:t>
      </w:r>
      <w:r w:rsidR="00765993">
        <w:rPr>
          <w:rFonts w:ascii="Times New Roman" w:hAnsi="Times New Roman"/>
        </w:rPr>
        <w:t xml:space="preserve"> </w:t>
      </w:r>
    </w:p>
    <w:p w14:paraId="3BA6B851" w14:textId="45A8EDFD" w:rsidR="00E31EB4" w:rsidRPr="003A197B" w:rsidRDefault="00E31EB4" w:rsidP="000A0BCF">
      <w:pPr>
        <w:pStyle w:val="LetterDate"/>
      </w:pPr>
    </w:p>
    <w:p w14:paraId="2C574C49" w14:textId="77777777" w:rsidR="008D68FE" w:rsidRDefault="008D68FE" w:rsidP="008D68FE">
      <w:pPr>
        <w:rPr>
          <w:noProof/>
          <w14:ligatures w14:val="standardContextual"/>
        </w:rPr>
      </w:pPr>
    </w:p>
    <w:p w14:paraId="20BA37CB" w14:textId="5120A67E" w:rsidR="003D1275" w:rsidRDefault="009F3E73" w:rsidP="004A3A5A">
      <w:pPr>
        <w:ind w:firstLine="720"/>
        <w:rPr>
          <w:rFonts w:ascii="Times New Roman" w:hAnsi="Times New Roman"/>
        </w:rPr>
      </w:pPr>
      <w:r w:rsidRPr="009F3E73">
        <w:rPr>
          <w:rFonts w:ascii="Times New Roman" w:hAnsi="Times New Roman"/>
          <w:noProof/>
        </w:rPr>
        <w:lastRenderedPageBreak/>
        <w:drawing>
          <wp:inline distT="0" distB="0" distL="0" distR="0" wp14:anchorId="6CA0111A" wp14:editId="36A816E3">
            <wp:extent cx="5801995" cy="7231380"/>
            <wp:effectExtent l="0" t="0" r="8255" b="7620"/>
            <wp:docPr id="1981431367" name="Picture 1" descr="A table of number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1367" name="Picture 1" descr="A table of numbers with text"/>
                    <pic:cNvPicPr/>
                  </pic:nvPicPr>
                  <pic:blipFill>
                    <a:blip r:embed="rId9"/>
                    <a:stretch>
                      <a:fillRect/>
                    </a:stretch>
                  </pic:blipFill>
                  <pic:spPr>
                    <a:xfrm>
                      <a:off x="0" y="0"/>
                      <a:ext cx="5801995" cy="7231380"/>
                    </a:xfrm>
                    <a:prstGeom prst="rect">
                      <a:avLst/>
                    </a:prstGeom>
                  </pic:spPr>
                </pic:pic>
              </a:graphicData>
            </a:graphic>
          </wp:inline>
        </w:drawing>
      </w:r>
    </w:p>
    <w:p w14:paraId="33518EA9" w14:textId="77777777" w:rsidR="008D68FE" w:rsidRDefault="008D68FE" w:rsidP="003D1275">
      <w:pPr>
        <w:ind w:firstLine="720"/>
        <w:rPr>
          <w:rFonts w:ascii="Times New Roman" w:hAnsi="Times New Roman"/>
        </w:rPr>
      </w:pPr>
    </w:p>
    <w:p w14:paraId="4596110A" w14:textId="77777777" w:rsidR="008D68FE" w:rsidRDefault="00000000" w:rsidP="008D68FE">
      <w:pPr>
        <w:rPr>
          <w:noProof/>
          <w14:ligatures w14:val="standardContextual"/>
        </w:rPr>
      </w:pPr>
      <w:hyperlink r:id="rId10" w:history="1">
        <w:r w:rsidR="008D68FE" w:rsidRPr="00367CE2">
          <w:rPr>
            <w:rStyle w:val="Hyperlink"/>
            <w:noProof/>
            <w14:ligatures w14:val="standardContextual"/>
          </w:rPr>
          <w:t>https://data.cms.gov/summary-statistics-on-use-and-payments/program-integrity-market-saturation-by-type-of-service/market-saturation-utilization-state-county</w:t>
        </w:r>
      </w:hyperlink>
      <w:r w:rsidR="008D68FE">
        <w:rPr>
          <w:noProof/>
          <w14:ligatures w14:val="standardContextual"/>
        </w:rPr>
        <w:t xml:space="preserve"> </w:t>
      </w:r>
    </w:p>
    <w:p w14:paraId="29188E0B" w14:textId="77777777" w:rsidR="008D68FE" w:rsidRDefault="008D68FE" w:rsidP="008D68FE">
      <w:pPr>
        <w:rPr>
          <w:noProof/>
          <w14:ligatures w14:val="standardContextual"/>
        </w:rPr>
      </w:pPr>
    </w:p>
    <w:p w14:paraId="1105BA13" w14:textId="77777777" w:rsidR="008D68FE" w:rsidRDefault="008D68FE" w:rsidP="003D1275">
      <w:pPr>
        <w:ind w:firstLine="720"/>
        <w:rPr>
          <w:rFonts w:ascii="Times New Roman" w:hAnsi="Times New Roman"/>
        </w:rPr>
      </w:pPr>
    </w:p>
    <w:p w14:paraId="1B7CEADF" w14:textId="4ECB26A3" w:rsidR="008D68FE" w:rsidRDefault="008D68FE" w:rsidP="003D1275">
      <w:pPr>
        <w:ind w:firstLine="720"/>
        <w:rPr>
          <w:rFonts w:ascii="Times New Roman" w:hAnsi="Times New Roman"/>
        </w:rPr>
      </w:pPr>
      <w:r>
        <w:rPr>
          <w:rFonts w:ascii="Times New Roman" w:hAnsi="Times New Roman"/>
        </w:rPr>
        <w:lastRenderedPageBreak/>
        <w:t xml:space="preserve">While the Alliance does consider the below MedPAC analyses to be wholly accurate </w:t>
      </w:r>
      <w:r w:rsidR="00D637E2">
        <w:rPr>
          <w:rFonts w:ascii="Times New Roman" w:hAnsi="Times New Roman"/>
        </w:rPr>
        <w:t>in comparison to the CMS Market Saturation Reports, those analyses a</w:t>
      </w:r>
      <w:r w:rsidR="002D52B6">
        <w:rPr>
          <w:rFonts w:ascii="Times New Roman" w:hAnsi="Times New Roman"/>
        </w:rPr>
        <w:t>re</w:t>
      </w:r>
      <w:r w:rsidR="00BF4522">
        <w:rPr>
          <w:rFonts w:ascii="Times New Roman" w:hAnsi="Times New Roman"/>
        </w:rPr>
        <w:t xml:space="preserve"> categorically</w:t>
      </w:r>
      <w:r w:rsidR="00D637E2">
        <w:rPr>
          <w:rFonts w:ascii="Times New Roman" w:hAnsi="Times New Roman"/>
        </w:rPr>
        <w:t xml:space="preserve"> </w:t>
      </w:r>
      <w:r w:rsidR="002D52B6">
        <w:rPr>
          <w:rFonts w:ascii="Times New Roman" w:hAnsi="Times New Roman"/>
        </w:rPr>
        <w:t>consistent</w:t>
      </w:r>
      <w:r w:rsidR="00D637E2">
        <w:rPr>
          <w:rFonts w:ascii="Times New Roman" w:hAnsi="Times New Roman"/>
        </w:rPr>
        <w:t xml:space="preserve"> with the downward trend</w:t>
      </w:r>
      <w:r w:rsidR="00C7041E">
        <w:rPr>
          <w:rFonts w:ascii="Times New Roman" w:hAnsi="Times New Roman"/>
        </w:rPr>
        <w:t xml:space="preserve">s displayed in </w:t>
      </w:r>
      <w:r w:rsidR="00197EA8">
        <w:rPr>
          <w:rFonts w:ascii="Times New Roman" w:hAnsi="Times New Roman"/>
        </w:rPr>
        <w:t>the CMS</w:t>
      </w:r>
      <w:r w:rsidR="00C7041E">
        <w:rPr>
          <w:rFonts w:ascii="Times New Roman" w:hAnsi="Times New Roman"/>
        </w:rPr>
        <w:t xml:space="preserve"> data. </w:t>
      </w:r>
      <w:r w:rsidR="00B10702">
        <w:rPr>
          <w:rFonts w:ascii="Times New Roman" w:hAnsi="Times New Roman"/>
        </w:rPr>
        <w:t xml:space="preserve"> Nearly 600,000 fewer users of home health services, </w:t>
      </w:r>
      <w:r w:rsidR="00232942">
        <w:rPr>
          <w:rFonts w:ascii="Times New Roman" w:hAnsi="Times New Roman"/>
        </w:rPr>
        <w:t>a 6% decline in the proportion</w:t>
      </w:r>
      <w:r w:rsidR="00197EA8">
        <w:rPr>
          <w:rFonts w:ascii="Times New Roman" w:hAnsi="Times New Roman"/>
        </w:rPr>
        <w:t xml:space="preserve"> of FFS beneficiaries utilizing home health services between 2019 and </w:t>
      </w:r>
      <w:r w:rsidR="002D52B6">
        <w:rPr>
          <w:rFonts w:ascii="Times New Roman" w:hAnsi="Times New Roman"/>
        </w:rPr>
        <w:t>2022, reduced</w:t>
      </w:r>
      <w:r w:rsidR="00E9459E">
        <w:rPr>
          <w:rFonts w:ascii="Times New Roman" w:hAnsi="Times New Roman"/>
        </w:rPr>
        <w:t xml:space="preserve"> lengths of stay receiving home health services, and </w:t>
      </w:r>
      <w:r w:rsidR="003A43AB">
        <w:rPr>
          <w:rFonts w:ascii="Times New Roman" w:hAnsi="Times New Roman"/>
        </w:rPr>
        <w:t>a significant decline in the number of in-person clinical visits to patients</w:t>
      </w:r>
      <w:r w:rsidR="002D52B6">
        <w:rPr>
          <w:rFonts w:ascii="Times New Roman" w:hAnsi="Times New Roman"/>
        </w:rPr>
        <w:t xml:space="preserve"> are all consistent with the Market Saturation Report data compiled by CMS. </w:t>
      </w:r>
    </w:p>
    <w:p w14:paraId="58313D36" w14:textId="77777777" w:rsidR="008D68FE" w:rsidRDefault="008D68FE" w:rsidP="003D1275">
      <w:pPr>
        <w:ind w:firstLine="720"/>
        <w:rPr>
          <w:rFonts w:ascii="Times New Roman" w:hAnsi="Times New Roman"/>
        </w:rPr>
      </w:pPr>
    </w:p>
    <w:p w14:paraId="2A541F1E" w14:textId="77777777" w:rsidR="008D68FE" w:rsidRDefault="008D68FE" w:rsidP="003D1275">
      <w:pPr>
        <w:ind w:firstLine="720"/>
        <w:rPr>
          <w:rFonts w:ascii="Times New Roman" w:hAnsi="Times New Roman"/>
        </w:rPr>
      </w:pPr>
    </w:p>
    <w:p w14:paraId="6B142278" w14:textId="74062205" w:rsidR="003D1275" w:rsidRPr="00BF4522" w:rsidRDefault="003D1275" w:rsidP="003D1275">
      <w:pPr>
        <w:ind w:firstLine="720"/>
        <w:rPr>
          <w:rFonts w:ascii="Times New Roman" w:hAnsi="Times New Roman"/>
          <w:b/>
          <w:bCs/>
        </w:rPr>
      </w:pPr>
      <w:r w:rsidRPr="00BF4522">
        <w:rPr>
          <w:rFonts w:ascii="Times New Roman" w:hAnsi="Times New Roman"/>
          <w:b/>
          <w:bCs/>
        </w:rPr>
        <w:t>MedPAC March 2023 Report to Congress</w:t>
      </w:r>
    </w:p>
    <w:p w14:paraId="02EC83DD" w14:textId="77777777" w:rsidR="003D1275" w:rsidRDefault="003D1275" w:rsidP="004A3A5A">
      <w:pPr>
        <w:ind w:firstLine="720"/>
        <w:rPr>
          <w:rFonts w:ascii="Times New Roman" w:hAnsi="Times New Roman"/>
        </w:rPr>
      </w:pPr>
    </w:p>
    <w:p w14:paraId="74537BBA" w14:textId="77D7BB80" w:rsidR="00F97205" w:rsidRDefault="003451E9">
      <w:pPr>
        <w:rPr>
          <w:rFonts w:ascii="Times New Roman" w:hAnsi="Times New Roman"/>
        </w:rPr>
      </w:pPr>
      <w:r>
        <w:rPr>
          <w:noProof/>
          <w14:ligatures w14:val="standardContextual"/>
        </w:rPr>
        <w:drawing>
          <wp:inline distT="0" distB="0" distL="0" distR="0" wp14:anchorId="2551BB8A" wp14:editId="4CE57761">
            <wp:extent cx="5943600" cy="3439160"/>
            <wp:effectExtent l="0" t="0" r="0" b="8890"/>
            <wp:docPr id="95104785" name="Picture 95104785"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4883" name="Picture 1" descr="A screenshot of a screen&#10;&#10;Description automatically generated"/>
                    <pic:cNvPicPr/>
                  </pic:nvPicPr>
                  <pic:blipFill>
                    <a:blip r:embed="rId11"/>
                    <a:stretch>
                      <a:fillRect/>
                    </a:stretch>
                  </pic:blipFill>
                  <pic:spPr>
                    <a:xfrm>
                      <a:off x="0" y="0"/>
                      <a:ext cx="5943600" cy="3439160"/>
                    </a:xfrm>
                    <a:prstGeom prst="rect">
                      <a:avLst/>
                    </a:prstGeom>
                  </pic:spPr>
                </pic:pic>
              </a:graphicData>
            </a:graphic>
          </wp:inline>
        </w:drawing>
      </w:r>
    </w:p>
    <w:p w14:paraId="38617FD6" w14:textId="77777777" w:rsidR="006A66B0" w:rsidRDefault="006A66B0" w:rsidP="003451E9">
      <w:pPr>
        <w:ind w:firstLine="720"/>
        <w:rPr>
          <w:rFonts w:ascii="Times New Roman" w:hAnsi="Times New Roman"/>
        </w:rPr>
      </w:pPr>
    </w:p>
    <w:p w14:paraId="69FBC1CB" w14:textId="77777777" w:rsidR="00BF4522" w:rsidRDefault="00BF4522" w:rsidP="003451E9">
      <w:pPr>
        <w:ind w:firstLine="720"/>
        <w:rPr>
          <w:rFonts w:ascii="Times New Roman" w:hAnsi="Times New Roman"/>
          <w:b/>
          <w:bCs/>
        </w:rPr>
      </w:pPr>
    </w:p>
    <w:p w14:paraId="79CADFF4" w14:textId="77777777" w:rsidR="00BF4522" w:rsidRDefault="00BF4522" w:rsidP="003451E9">
      <w:pPr>
        <w:ind w:firstLine="720"/>
        <w:rPr>
          <w:rFonts w:ascii="Times New Roman" w:hAnsi="Times New Roman"/>
          <w:b/>
          <w:bCs/>
        </w:rPr>
      </w:pPr>
    </w:p>
    <w:p w14:paraId="1E892215" w14:textId="77777777" w:rsidR="00BF4522" w:rsidRDefault="00BF4522" w:rsidP="003451E9">
      <w:pPr>
        <w:ind w:firstLine="720"/>
        <w:rPr>
          <w:rFonts w:ascii="Times New Roman" w:hAnsi="Times New Roman"/>
          <w:b/>
          <w:bCs/>
        </w:rPr>
      </w:pPr>
    </w:p>
    <w:p w14:paraId="60EDD78C" w14:textId="77777777" w:rsidR="00BF4522" w:rsidRDefault="00BF4522" w:rsidP="003451E9">
      <w:pPr>
        <w:ind w:firstLine="720"/>
        <w:rPr>
          <w:rFonts w:ascii="Times New Roman" w:hAnsi="Times New Roman"/>
          <w:b/>
          <w:bCs/>
        </w:rPr>
      </w:pPr>
    </w:p>
    <w:p w14:paraId="18CCA768" w14:textId="77777777" w:rsidR="00BF4522" w:rsidRDefault="00BF4522" w:rsidP="003451E9">
      <w:pPr>
        <w:ind w:firstLine="720"/>
        <w:rPr>
          <w:rFonts w:ascii="Times New Roman" w:hAnsi="Times New Roman"/>
          <w:b/>
          <w:bCs/>
        </w:rPr>
      </w:pPr>
    </w:p>
    <w:p w14:paraId="52C83BA5" w14:textId="77777777" w:rsidR="00BF4522" w:rsidRDefault="00BF4522" w:rsidP="003451E9">
      <w:pPr>
        <w:ind w:firstLine="720"/>
        <w:rPr>
          <w:rFonts w:ascii="Times New Roman" w:hAnsi="Times New Roman"/>
          <w:b/>
          <w:bCs/>
        </w:rPr>
      </w:pPr>
    </w:p>
    <w:p w14:paraId="63CFFFAC" w14:textId="77777777" w:rsidR="00BF4522" w:rsidRDefault="00BF4522" w:rsidP="003451E9">
      <w:pPr>
        <w:ind w:firstLine="720"/>
        <w:rPr>
          <w:rFonts w:ascii="Times New Roman" w:hAnsi="Times New Roman"/>
          <w:b/>
          <w:bCs/>
        </w:rPr>
      </w:pPr>
    </w:p>
    <w:p w14:paraId="6325D0CE" w14:textId="77777777" w:rsidR="00BF4522" w:rsidRDefault="00BF4522" w:rsidP="003451E9">
      <w:pPr>
        <w:ind w:firstLine="720"/>
        <w:rPr>
          <w:rFonts w:ascii="Times New Roman" w:hAnsi="Times New Roman"/>
          <w:b/>
          <w:bCs/>
        </w:rPr>
      </w:pPr>
    </w:p>
    <w:p w14:paraId="6C7BD0CA" w14:textId="77777777" w:rsidR="00BF4522" w:rsidRDefault="00BF4522" w:rsidP="003451E9">
      <w:pPr>
        <w:ind w:firstLine="720"/>
        <w:rPr>
          <w:rFonts w:ascii="Times New Roman" w:hAnsi="Times New Roman"/>
          <w:b/>
          <w:bCs/>
        </w:rPr>
      </w:pPr>
    </w:p>
    <w:p w14:paraId="2B89711F" w14:textId="77777777" w:rsidR="00BF4522" w:rsidRDefault="00BF4522" w:rsidP="003451E9">
      <w:pPr>
        <w:ind w:firstLine="720"/>
        <w:rPr>
          <w:rFonts w:ascii="Times New Roman" w:hAnsi="Times New Roman"/>
          <w:b/>
          <w:bCs/>
        </w:rPr>
      </w:pPr>
    </w:p>
    <w:p w14:paraId="7C1E9B56" w14:textId="77777777" w:rsidR="00BF4522" w:rsidRDefault="00BF4522" w:rsidP="003451E9">
      <w:pPr>
        <w:ind w:firstLine="720"/>
        <w:rPr>
          <w:rFonts w:ascii="Times New Roman" w:hAnsi="Times New Roman"/>
          <w:b/>
          <w:bCs/>
        </w:rPr>
      </w:pPr>
    </w:p>
    <w:p w14:paraId="7935D932" w14:textId="77777777" w:rsidR="00BF4522" w:rsidRDefault="00BF4522" w:rsidP="003451E9">
      <w:pPr>
        <w:ind w:firstLine="720"/>
        <w:rPr>
          <w:rFonts w:ascii="Times New Roman" w:hAnsi="Times New Roman"/>
          <w:b/>
          <w:bCs/>
        </w:rPr>
      </w:pPr>
    </w:p>
    <w:p w14:paraId="4D1F4D1A" w14:textId="77777777" w:rsidR="00BF4522" w:rsidRDefault="00BF4522" w:rsidP="003451E9">
      <w:pPr>
        <w:ind w:firstLine="720"/>
        <w:rPr>
          <w:rFonts w:ascii="Times New Roman" w:hAnsi="Times New Roman"/>
          <w:b/>
          <w:bCs/>
        </w:rPr>
      </w:pPr>
    </w:p>
    <w:p w14:paraId="0B2420FA" w14:textId="77777777" w:rsidR="00BF4522" w:rsidRDefault="00BF4522" w:rsidP="003451E9">
      <w:pPr>
        <w:ind w:firstLine="720"/>
        <w:rPr>
          <w:rFonts w:ascii="Times New Roman" w:hAnsi="Times New Roman"/>
          <w:b/>
          <w:bCs/>
        </w:rPr>
      </w:pPr>
    </w:p>
    <w:p w14:paraId="39C6F491" w14:textId="77777777" w:rsidR="00BF4522" w:rsidRDefault="00BF4522" w:rsidP="003451E9">
      <w:pPr>
        <w:ind w:firstLine="720"/>
        <w:rPr>
          <w:rFonts w:ascii="Times New Roman" w:hAnsi="Times New Roman"/>
          <w:b/>
          <w:bCs/>
        </w:rPr>
      </w:pPr>
    </w:p>
    <w:p w14:paraId="62782357" w14:textId="77777777" w:rsidR="00BF4522" w:rsidRDefault="00BF4522" w:rsidP="003451E9">
      <w:pPr>
        <w:ind w:firstLine="720"/>
        <w:rPr>
          <w:rFonts w:ascii="Times New Roman" w:hAnsi="Times New Roman"/>
          <w:b/>
          <w:bCs/>
        </w:rPr>
      </w:pPr>
    </w:p>
    <w:p w14:paraId="6E6F8A66" w14:textId="77777777" w:rsidR="00BF4522" w:rsidRDefault="00BF4522" w:rsidP="003451E9">
      <w:pPr>
        <w:ind w:firstLine="720"/>
        <w:rPr>
          <w:rFonts w:ascii="Times New Roman" w:hAnsi="Times New Roman"/>
          <w:b/>
          <w:bCs/>
        </w:rPr>
      </w:pPr>
    </w:p>
    <w:p w14:paraId="271C692D" w14:textId="77777777" w:rsidR="00BF4522" w:rsidRDefault="00BF4522" w:rsidP="003451E9">
      <w:pPr>
        <w:ind w:firstLine="720"/>
        <w:rPr>
          <w:rFonts w:ascii="Times New Roman" w:hAnsi="Times New Roman"/>
          <w:b/>
          <w:bCs/>
        </w:rPr>
      </w:pPr>
    </w:p>
    <w:p w14:paraId="5EC3D58C" w14:textId="77777777" w:rsidR="00BF4522" w:rsidRDefault="00945D01" w:rsidP="003451E9">
      <w:pPr>
        <w:ind w:firstLine="720"/>
        <w:rPr>
          <w:rFonts w:ascii="Times New Roman" w:hAnsi="Times New Roman"/>
          <w:b/>
          <w:bCs/>
        </w:rPr>
      </w:pPr>
      <w:r w:rsidRPr="00BF4522">
        <w:rPr>
          <w:rFonts w:ascii="Times New Roman" w:hAnsi="Times New Roman"/>
          <w:b/>
          <w:bCs/>
        </w:rPr>
        <w:t>MedPAC March 2024 Report to Congress</w:t>
      </w:r>
    </w:p>
    <w:p w14:paraId="2F2089F6" w14:textId="07FBB7B8" w:rsidR="0027010A" w:rsidRDefault="00225095" w:rsidP="003451E9">
      <w:pPr>
        <w:ind w:firstLine="720"/>
        <w:rPr>
          <w:noProof/>
          <w14:ligatures w14:val="standardContextual"/>
        </w:rPr>
      </w:pPr>
      <w:r>
        <w:rPr>
          <w:rFonts w:ascii="Times New Roman" w:hAnsi="Times New Roman"/>
        </w:rPr>
        <w:t xml:space="preserve">  </w:t>
      </w:r>
    </w:p>
    <w:p w14:paraId="30FB85C4" w14:textId="733650BD" w:rsidR="00645A18" w:rsidRDefault="00DE3034" w:rsidP="00645A18">
      <w:pPr>
        <w:rPr>
          <w:rFonts w:ascii="Times New Roman" w:hAnsi="Times New Roman"/>
        </w:rPr>
      </w:pPr>
      <w:r>
        <w:rPr>
          <w:noProof/>
          <w14:ligatures w14:val="standardContextual"/>
        </w:rPr>
        <w:drawing>
          <wp:inline distT="0" distB="0" distL="0" distR="0" wp14:anchorId="05C45C33" wp14:editId="358BADE8">
            <wp:extent cx="5943600" cy="3058160"/>
            <wp:effectExtent l="0" t="0" r="0" b="8890"/>
            <wp:docPr id="953096342" name="Picture 1" descr="A white paper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96342" name="Picture 1" descr="A white paper with black text and numbers&#10;&#10;Description automatically generated"/>
                    <pic:cNvPicPr/>
                  </pic:nvPicPr>
                  <pic:blipFill>
                    <a:blip r:embed="rId12"/>
                    <a:stretch>
                      <a:fillRect/>
                    </a:stretch>
                  </pic:blipFill>
                  <pic:spPr>
                    <a:xfrm>
                      <a:off x="0" y="0"/>
                      <a:ext cx="5943600" cy="3058160"/>
                    </a:xfrm>
                    <a:prstGeom prst="rect">
                      <a:avLst/>
                    </a:prstGeom>
                  </pic:spPr>
                </pic:pic>
              </a:graphicData>
            </a:graphic>
          </wp:inline>
        </w:drawing>
      </w:r>
    </w:p>
    <w:p w14:paraId="7804E5A8" w14:textId="77777777" w:rsidR="00945D01" w:rsidRDefault="00945D01" w:rsidP="00645A18">
      <w:pPr>
        <w:rPr>
          <w:rFonts w:ascii="Times New Roman" w:hAnsi="Times New Roman"/>
        </w:rPr>
      </w:pPr>
    </w:p>
    <w:p w14:paraId="54D60933" w14:textId="77777777" w:rsidR="00945D01" w:rsidRDefault="00945D01" w:rsidP="00645A18">
      <w:pPr>
        <w:rPr>
          <w:rFonts w:ascii="Times New Roman" w:hAnsi="Times New Roman"/>
        </w:rPr>
      </w:pPr>
    </w:p>
    <w:p w14:paraId="38DB980B" w14:textId="77777777" w:rsidR="00114929" w:rsidRPr="00BF4522" w:rsidRDefault="00114929" w:rsidP="00645A18">
      <w:pPr>
        <w:rPr>
          <w:rFonts w:ascii="Times New Roman" w:hAnsi="Times New Roman"/>
          <w:b/>
          <w:bCs/>
        </w:rPr>
      </w:pPr>
    </w:p>
    <w:p w14:paraId="56D29DB6" w14:textId="277E71AC" w:rsidR="00945D01" w:rsidRPr="00BF4522" w:rsidRDefault="00945D01" w:rsidP="00645A18">
      <w:pPr>
        <w:rPr>
          <w:rFonts w:ascii="Times New Roman" w:hAnsi="Times New Roman"/>
          <w:b/>
          <w:bCs/>
        </w:rPr>
      </w:pPr>
      <w:r w:rsidRPr="00BF4522">
        <w:rPr>
          <w:rFonts w:ascii="Times New Roman" w:hAnsi="Times New Roman"/>
          <w:b/>
          <w:bCs/>
        </w:rPr>
        <w:t>MedPAC March 2023 Report to Congress</w:t>
      </w:r>
    </w:p>
    <w:p w14:paraId="3C73B058" w14:textId="77777777" w:rsidR="00945D01" w:rsidRPr="00645A18" w:rsidRDefault="00945D01" w:rsidP="00645A18">
      <w:pPr>
        <w:rPr>
          <w:rFonts w:ascii="Times New Roman" w:hAnsi="Times New Roman"/>
        </w:rPr>
      </w:pPr>
    </w:p>
    <w:p w14:paraId="229F2CB6" w14:textId="5FBE30EC" w:rsidR="00645A18" w:rsidRPr="00645A18" w:rsidRDefault="00AC4600" w:rsidP="00645A18">
      <w:pPr>
        <w:rPr>
          <w:rFonts w:ascii="Times New Roman" w:hAnsi="Times New Roman"/>
        </w:rPr>
      </w:pPr>
      <w:r>
        <w:rPr>
          <w:noProof/>
          <w14:ligatures w14:val="standardContextual"/>
        </w:rPr>
        <w:drawing>
          <wp:inline distT="0" distB="0" distL="0" distR="0" wp14:anchorId="1E67C480" wp14:editId="29C4FF25">
            <wp:extent cx="5943600" cy="3158490"/>
            <wp:effectExtent l="0" t="0" r="0" b="3810"/>
            <wp:docPr id="379903056"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03056" name="Picture 1" descr="A screenshot of a report&#10;&#10;Description automatically generated"/>
                    <pic:cNvPicPr/>
                  </pic:nvPicPr>
                  <pic:blipFill>
                    <a:blip r:embed="rId13"/>
                    <a:stretch>
                      <a:fillRect/>
                    </a:stretch>
                  </pic:blipFill>
                  <pic:spPr>
                    <a:xfrm>
                      <a:off x="0" y="0"/>
                      <a:ext cx="5943600" cy="3158490"/>
                    </a:xfrm>
                    <a:prstGeom prst="rect">
                      <a:avLst/>
                    </a:prstGeom>
                  </pic:spPr>
                </pic:pic>
              </a:graphicData>
            </a:graphic>
          </wp:inline>
        </w:drawing>
      </w:r>
    </w:p>
    <w:p w14:paraId="50A242D5" w14:textId="77777777" w:rsidR="0061243D" w:rsidRDefault="0061243D" w:rsidP="00645A18">
      <w:pPr>
        <w:rPr>
          <w:noProof/>
          <w14:ligatures w14:val="standardContextual"/>
        </w:rPr>
      </w:pPr>
    </w:p>
    <w:p w14:paraId="77CD97FA" w14:textId="77777777" w:rsidR="0061243D" w:rsidRDefault="0061243D" w:rsidP="00645A18">
      <w:pPr>
        <w:rPr>
          <w:noProof/>
          <w14:ligatures w14:val="standardContextual"/>
        </w:rPr>
      </w:pPr>
    </w:p>
    <w:p w14:paraId="67B28EBC" w14:textId="77777777" w:rsidR="00BF4522" w:rsidRDefault="00BF4522" w:rsidP="00645A18">
      <w:pPr>
        <w:rPr>
          <w:noProof/>
          <w14:ligatures w14:val="standardContextual"/>
        </w:rPr>
      </w:pPr>
    </w:p>
    <w:p w14:paraId="41D04646" w14:textId="77777777" w:rsidR="00BF4522" w:rsidRDefault="00BF4522" w:rsidP="00645A18">
      <w:pPr>
        <w:rPr>
          <w:noProof/>
          <w14:ligatures w14:val="standardContextual"/>
        </w:rPr>
      </w:pPr>
    </w:p>
    <w:p w14:paraId="7CB6F921" w14:textId="481AA8F3" w:rsidR="0061243D" w:rsidRPr="00BF4522" w:rsidRDefault="00945D01" w:rsidP="00645A18">
      <w:pPr>
        <w:rPr>
          <w:b/>
          <w:bCs/>
          <w:noProof/>
          <w14:ligatures w14:val="standardContextual"/>
        </w:rPr>
      </w:pPr>
      <w:r w:rsidRPr="00BF4522">
        <w:rPr>
          <w:b/>
          <w:bCs/>
          <w:noProof/>
          <w14:ligatures w14:val="standardContextual"/>
        </w:rPr>
        <w:lastRenderedPageBreak/>
        <w:t>MedPAC March 2024 Report to Congress</w:t>
      </w:r>
    </w:p>
    <w:p w14:paraId="623D3D8B" w14:textId="77777777" w:rsidR="0061243D" w:rsidRDefault="0061243D" w:rsidP="00645A18">
      <w:pPr>
        <w:rPr>
          <w:noProof/>
          <w14:ligatures w14:val="standardContextual"/>
        </w:rPr>
      </w:pPr>
    </w:p>
    <w:p w14:paraId="55ABBD59" w14:textId="57EC6DF6" w:rsidR="0061243D" w:rsidRDefault="00945D01" w:rsidP="00645A18">
      <w:pPr>
        <w:rPr>
          <w:noProof/>
          <w14:ligatures w14:val="standardContextual"/>
        </w:rPr>
      </w:pPr>
      <w:r>
        <w:rPr>
          <w:noProof/>
          <w14:ligatures w14:val="standardContextual"/>
        </w:rPr>
        <w:drawing>
          <wp:inline distT="0" distB="0" distL="0" distR="0" wp14:anchorId="24434B6A" wp14:editId="42121D22">
            <wp:extent cx="5943600" cy="3331845"/>
            <wp:effectExtent l="0" t="0" r="0" b="1905"/>
            <wp:docPr id="614710452"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0452" name="Picture 1" descr="A screenshot of a medical report&#10;&#10;Description automatically generated"/>
                    <pic:cNvPicPr/>
                  </pic:nvPicPr>
                  <pic:blipFill>
                    <a:blip r:embed="rId14"/>
                    <a:stretch>
                      <a:fillRect/>
                    </a:stretch>
                  </pic:blipFill>
                  <pic:spPr>
                    <a:xfrm>
                      <a:off x="0" y="0"/>
                      <a:ext cx="5943600" cy="3331845"/>
                    </a:xfrm>
                    <a:prstGeom prst="rect">
                      <a:avLst/>
                    </a:prstGeom>
                  </pic:spPr>
                </pic:pic>
              </a:graphicData>
            </a:graphic>
          </wp:inline>
        </w:drawing>
      </w:r>
    </w:p>
    <w:p w14:paraId="68031F8F" w14:textId="77777777" w:rsidR="0061243D" w:rsidRDefault="0061243D" w:rsidP="00645A18">
      <w:pPr>
        <w:rPr>
          <w:noProof/>
          <w14:ligatures w14:val="standardContextual"/>
        </w:rPr>
      </w:pPr>
    </w:p>
    <w:p w14:paraId="03B79E21" w14:textId="77777777" w:rsidR="003B25DB" w:rsidRDefault="003B25DB" w:rsidP="00645A18">
      <w:pPr>
        <w:rPr>
          <w:noProof/>
          <w14:ligatures w14:val="standardContextual"/>
        </w:rPr>
      </w:pPr>
    </w:p>
    <w:p w14:paraId="6DD08F23" w14:textId="77777777" w:rsidR="003B25DB" w:rsidRDefault="003B25DB" w:rsidP="00645A18">
      <w:pPr>
        <w:rPr>
          <w:noProof/>
          <w14:ligatures w14:val="standardContextual"/>
        </w:rPr>
      </w:pPr>
    </w:p>
    <w:p w14:paraId="68D5338E" w14:textId="363A18A7" w:rsidR="00280EF0" w:rsidRDefault="004A2CB6" w:rsidP="00645A18">
      <w:pPr>
        <w:rPr>
          <w:noProof/>
          <w14:ligatures w14:val="standardContextual"/>
        </w:rPr>
      </w:pPr>
      <w:r>
        <w:rPr>
          <w:noProof/>
          <w14:ligatures w14:val="standardContextual"/>
        </w:rPr>
        <w:t>CMS als</w:t>
      </w:r>
      <w:r w:rsidR="005D0D86">
        <w:rPr>
          <w:noProof/>
          <w14:ligatures w14:val="standardContextual"/>
        </w:rPr>
        <w:t>o offers important data on the level of care provided under the home health benefit in the NPRM</w:t>
      </w:r>
      <w:r w:rsidR="006F35D1">
        <w:rPr>
          <w:noProof/>
          <w14:ligatures w14:val="standardContextual"/>
        </w:rPr>
        <w:t xml:space="preserve"> that shows the continuing decline is services provided as each year of PDGM advanc</w:t>
      </w:r>
      <w:r w:rsidR="00991465">
        <w:rPr>
          <w:noProof/>
          <w14:ligatures w14:val="standardContextual"/>
        </w:rPr>
        <w:t>es</w:t>
      </w:r>
      <w:r w:rsidR="00280EF0">
        <w:rPr>
          <w:noProof/>
          <w14:ligatures w14:val="standardContextual"/>
        </w:rPr>
        <w:t>.</w:t>
      </w:r>
    </w:p>
    <w:p w14:paraId="4B4CC592" w14:textId="77777777" w:rsidR="00280EF0" w:rsidRDefault="00280EF0" w:rsidP="00645A18">
      <w:pPr>
        <w:rPr>
          <w:noProof/>
          <w14:ligatures w14:val="standardContextual"/>
        </w:rPr>
      </w:pPr>
    </w:p>
    <w:p w14:paraId="2AC0A80B" w14:textId="012CBF9A" w:rsidR="0061243D" w:rsidRDefault="00991465" w:rsidP="00645A18">
      <w:pPr>
        <w:rPr>
          <w:noProof/>
          <w14:ligatures w14:val="standardContextual"/>
        </w:rPr>
      </w:pPr>
      <w:r>
        <w:rPr>
          <w:noProof/>
          <w14:ligatures w14:val="standardContextual"/>
        </w:rPr>
        <w:t xml:space="preserve"> </w:t>
      </w:r>
      <w:r w:rsidR="00280EF0">
        <w:rPr>
          <w:noProof/>
          <w14:ligatures w14:val="standardContextual"/>
        </w:rPr>
        <w:drawing>
          <wp:inline distT="0" distB="0" distL="0" distR="0" wp14:anchorId="2CBF25C7" wp14:editId="1A54F0C9">
            <wp:extent cx="5943600" cy="1919605"/>
            <wp:effectExtent l="0" t="0" r="0" b="4445"/>
            <wp:docPr id="115580177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01779" name="Picture 1" descr="A close-up of a chart&#10;&#10;Description automatically generated"/>
                    <pic:cNvPicPr/>
                  </pic:nvPicPr>
                  <pic:blipFill>
                    <a:blip r:embed="rId15"/>
                    <a:stretch>
                      <a:fillRect/>
                    </a:stretch>
                  </pic:blipFill>
                  <pic:spPr>
                    <a:xfrm>
                      <a:off x="0" y="0"/>
                      <a:ext cx="5943600" cy="1919605"/>
                    </a:xfrm>
                    <a:prstGeom prst="rect">
                      <a:avLst/>
                    </a:prstGeom>
                  </pic:spPr>
                </pic:pic>
              </a:graphicData>
            </a:graphic>
          </wp:inline>
        </w:drawing>
      </w:r>
    </w:p>
    <w:p w14:paraId="49E80F36" w14:textId="77777777" w:rsidR="00280EF0" w:rsidRDefault="00280EF0" w:rsidP="00645A18">
      <w:pPr>
        <w:rPr>
          <w:noProof/>
          <w14:ligatures w14:val="standardContextual"/>
        </w:rPr>
      </w:pPr>
    </w:p>
    <w:p w14:paraId="5B179DD0" w14:textId="4902CCE0" w:rsidR="00D461C4" w:rsidRDefault="00C014B4" w:rsidP="00645A18">
      <w:pPr>
        <w:rPr>
          <w:noProof/>
          <w14:ligatures w14:val="standardContextual"/>
        </w:rPr>
      </w:pPr>
      <w:r>
        <w:rPr>
          <w:noProof/>
          <w14:ligatures w14:val="standardContextual"/>
        </w:rPr>
        <w:t xml:space="preserve">89 Fed. Reg. 55312, 55318 (July 3, 2024). </w:t>
      </w:r>
    </w:p>
    <w:p w14:paraId="7925FDAE" w14:textId="77777777" w:rsidR="00C014B4" w:rsidRDefault="00C014B4" w:rsidP="00645A18">
      <w:pPr>
        <w:rPr>
          <w:noProof/>
          <w14:ligatures w14:val="standardContextual"/>
        </w:rPr>
      </w:pPr>
    </w:p>
    <w:p w14:paraId="3250052C" w14:textId="61456947" w:rsidR="00C014B4" w:rsidRDefault="005932F4" w:rsidP="00645A18">
      <w:pPr>
        <w:rPr>
          <w:noProof/>
          <w14:ligatures w14:val="standardContextual"/>
        </w:rPr>
      </w:pPr>
      <w:r>
        <w:rPr>
          <w:noProof/>
          <w14:ligatures w14:val="standardContextual"/>
        </w:rPr>
        <w:t>The pattern is clear and unambiguous. Rate cuts under PDGM lead to care cuts</w:t>
      </w:r>
      <w:r w:rsidR="002C0798">
        <w:rPr>
          <w:noProof/>
          <w14:ligatures w14:val="standardContextual"/>
        </w:rPr>
        <w:t xml:space="preserve">. </w:t>
      </w:r>
    </w:p>
    <w:p w14:paraId="6587A3C7" w14:textId="77777777" w:rsidR="002C0798" w:rsidRDefault="002C0798" w:rsidP="00645A18">
      <w:pPr>
        <w:rPr>
          <w:noProof/>
          <w14:ligatures w14:val="standardContextual"/>
        </w:rPr>
      </w:pPr>
    </w:p>
    <w:p w14:paraId="5B19888D" w14:textId="77777777" w:rsidR="00991465" w:rsidRDefault="00991465" w:rsidP="00645A18">
      <w:pPr>
        <w:rPr>
          <w:noProof/>
          <w14:ligatures w14:val="standardContextual"/>
        </w:rPr>
      </w:pPr>
    </w:p>
    <w:p w14:paraId="5E58DDBA" w14:textId="77777777" w:rsidR="00991465" w:rsidRDefault="00991465" w:rsidP="00645A18">
      <w:pPr>
        <w:rPr>
          <w:noProof/>
          <w14:ligatures w14:val="standardContextual"/>
        </w:rPr>
      </w:pPr>
    </w:p>
    <w:p w14:paraId="736C1B0C" w14:textId="77777777" w:rsidR="004A2CB6" w:rsidRDefault="004A2CB6" w:rsidP="00645A18">
      <w:pPr>
        <w:rPr>
          <w:noProof/>
          <w14:ligatures w14:val="standardContextual"/>
        </w:rPr>
      </w:pPr>
    </w:p>
    <w:p w14:paraId="36A36BAD" w14:textId="77777777" w:rsidR="004A2CB6" w:rsidRDefault="004A2CB6" w:rsidP="00645A18">
      <w:pPr>
        <w:rPr>
          <w:noProof/>
          <w14:ligatures w14:val="standardContextual"/>
        </w:rPr>
      </w:pPr>
    </w:p>
    <w:p w14:paraId="4FBFD77E" w14:textId="15569BCB" w:rsidR="005D324B" w:rsidRDefault="00B64E26" w:rsidP="00645A18">
      <w:pPr>
        <w:rPr>
          <w:noProof/>
          <w14:ligatures w14:val="standardContextual"/>
        </w:rPr>
      </w:pPr>
      <w:r>
        <w:rPr>
          <w:noProof/>
          <w14:ligatures w14:val="standardContextual"/>
        </w:rPr>
        <w:t>The decline in the number of active, billing HHAs continues to pl</w:t>
      </w:r>
      <w:r w:rsidR="004A18B5">
        <w:rPr>
          <w:noProof/>
          <w14:ligatures w14:val="standardContextual"/>
        </w:rPr>
        <w:t>um</w:t>
      </w:r>
      <w:r>
        <w:rPr>
          <w:noProof/>
          <w14:ligatures w14:val="standardContextual"/>
        </w:rPr>
        <w:t>met nationwide, with very frwe states excepted. Notably, California is the unicorn among the states with 534 active HHAs added between 2019 and 2023.</w:t>
      </w:r>
      <w:r w:rsidR="004A18B5">
        <w:rPr>
          <w:noProof/>
          <w14:ligatures w14:val="standardContextual"/>
        </w:rPr>
        <w:t xml:space="preserve"> Active is defined as billing for Medicare homne health services during that calenadr year. Active is contrasted with</w:t>
      </w:r>
      <w:r w:rsidR="00D6581B">
        <w:rPr>
          <w:noProof/>
          <w14:ligatures w14:val="standardContextual"/>
        </w:rPr>
        <w:t xml:space="preserve"> simply existing as a certified HHA as that status does not </w:t>
      </w:r>
      <w:r w:rsidR="005D324B">
        <w:rPr>
          <w:noProof/>
          <w14:ligatures w14:val="standardContextual"/>
        </w:rPr>
        <w:t xml:space="preserve">help define care access. </w:t>
      </w:r>
    </w:p>
    <w:p w14:paraId="0BC0CB71" w14:textId="77777777" w:rsidR="005D324B" w:rsidRDefault="005D324B" w:rsidP="00645A18">
      <w:pPr>
        <w:rPr>
          <w:noProof/>
          <w14:ligatures w14:val="standardContextual"/>
        </w:rPr>
      </w:pPr>
    </w:p>
    <w:p w14:paraId="610C9FC1" w14:textId="663888D4" w:rsidR="005D324B" w:rsidRDefault="005D324B" w:rsidP="00645A18">
      <w:pPr>
        <w:rPr>
          <w:noProof/>
          <w14:ligatures w14:val="standardContextual"/>
        </w:rPr>
      </w:pPr>
      <w:r>
        <w:rPr>
          <w:noProof/>
          <w14:ligatures w14:val="standardContextual"/>
        </w:rPr>
        <w:t>The data from the CMS Market Saturation Reports</w:t>
      </w:r>
      <w:r w:rsidR="00FC50C8">
        <w:rPr>
          <w:noProof/>
          <w14:ligatures w14:val="standardContextual"/>
        </w:rPr>
        <w:t xml:space="preserve"> shows a 9% decline in the number of active HHAs since prior to PDGM.  </w:t>
      </w:r>
      <w:r w:rsidR="006A4598">
        <w:rPr>
          <w:noProof/>
          <w14:ligatures w14:val="standardContextual"/>
        </w:rPr>
        <w:t>All but six states (A</w:t>
      </w:r>
      <w:r w:rsidR="00562819">
        <w:rPr>
          <w:noProof/>
          <w14:ligatures w14:val="standardContextual"/>
        </w:rPr>
        <w:t xml:space="preserve">Z, CA, ME, NV, RI, and WA) show a sizeable decline in the number of HHAs that are activre. </w:t>
      </w:r>
      <w:r w:rsidR="00534ED5">
        <w:rPr>
          <w:noProof/>
          <w14:ligatures w14:val="standardContextual"/>
        </w:rPr>
        <w:t xml:space="preserve"> California is suspected to have seen growth with a large number of new HHAs </w:t>
      </w:r>
      <w:r w:rsidR="0032656D">
        <w:rPr>
          <w:noProof/>
          <w14:ligatures w14:val="standardContextual"/>
        </w:rPr>
        <w:t xml:space="preserve">raising program integrity concerns. With California excepted, thre decline in active HHAs during PDGM </w:t>
      </w:r>
      <w:r w:rsidR="00F60E05">
        <w:rPr>
          <w:noProof/>
          <w14:ligatures w14:val="standardContextual"/>
        </w:rPr>
        <w:t>is in excess of 17%</w:t>
      </w:r>
    </w:p>
    <w:p w14:paraId="5679F7AB" w14:textId="77777777" w:rsidR="005D324B" w:rsidRDefault="005D324B" w:rsidP="00645A18">
      <w:pPr>
        <w:rPr>
          <w:noProof/>
          <w14:ligatures w14:val="standardContextual"/>
        </w:rPr>
      </w:pPr>
    </w:p>
    <w:p w14:paraId="69E805B4" w14:textId="77777777" w:rsidR="005D324B" w:rsidRDefault="00B64E26" w:rsidP="00645A18">
      <w:pPr>
        <w:rPr>
          <w:noProof/>
          <w14:ligatures w14:val="standardContextual"/>
        </w:rPr>
      </w:pPr>
      <w:r>
        <w:rPr>
          <w:noProof/>
          <w14:ligatures w14:val="standardContextual"/>
        </w:rPr>
        <w:t xml:space="preserve"> </w:t>
      </w:r>
    </w:p>
    <w:tbl>
      <w:tblPr>
        <w:tblW w:w="8369" w:type="dxa"/>
        <w:tblLook w:val="04A0" w:firstRow="1" w:lastRow="0" w:firstColumn="1" w:lastColumn="0" w:noHBand="0" w:noVBand="1"/>
      </w:tblPr>
      <w:tblGrid>
        <w:gridCol w:w="1420"/>
        <w:gridCol w:w="1000"/>
        <w:gridCol w:w="1000"/>
        <w:gridCol w:w="1000"/>
        <w:gridCol w:w="1000"/>
        <w:gridCol w:w="1000"/>
        <w:gridCol w:w="927"/>
        <w:gridCol w:w="1022"/>
      </w:tblGrid>
      <w:tr w:rsidR="005D324B" w:rsidRPr="005D324B" w14:paraId="56CDE243" w14:textId="77777777" w:rsidTr="00F60E05">
        <w:trPr>
          <w:trHeight w:val="312"/>
        </w:trPr>
        <w:tc>
          <w:tcPr>
            <w:tcW w:w="1420" w:type="dxa"/>
            <w:tcBorders>
              <w:top w:val="single" w:sz="4" w:space="0" w:color="auto"/>
              <w:left w:val="nil"/>
              <w:bottom w:val="single" w:sz="4" w:space="0" w:color="auto"/>
              <w:right w:val="nil"/>
            </w:tcBorders>
            <w:shd w:val="clear" w:color="D9E1F2" w:fill="305496"/>
            <w:noWrap/>
            <w:vAlign w:val="center"/>
            <w:hideMark/>
          </w:tcPr>
          <w:p w14:paraId="052FBF6F" w14:textId="77777777" w:rsidR="005D324B" w:rsidRPr="005D324B" w:rsidRDefault="005D324B" w:rsidP="005D324B">
            <w:pPr>
              <w:rPr>
                <w:rFonts w:cs="Calibri"/>
                <w:b/>
                <w:bCs/>
                <w:color w:val="FFFFFF"/>
                <w:sz w:val="20"/>
              </w:rPr>
            </w:pPr>
            <w:r w:rsidRPr="005D324B">
              <w:rPr>
                <w:rFonts w:cs="Calibri"/>
                <w:b/>
                <w:bCs/>
                <w:color w:val="FFFFFF"/>
                <w:sz w:val="20"/>
              </w:rPr>
              <w:t>STATE</w:t>
            </w:r>
          </w:p>
        </w:tc>
        <w:tc>
          <w:tcPr>
            <w:tcW w:w="1000" w:type="dxa"/>
            <w:tcBorders>
              <w:top w:val="single" w:sz="4" w:space="0" w:color="auto"/>
              <w:left w:val="nil"/>
              <w:bottom w:val="single" w:sz="4" w:space="0" w:color="auto"/>
              <w:right w:val="nil"/>
            </w:tcBorders>
            <w:shd w:val="clear" w:color="D9E1F2" w:fill="305496"/>
            <w:noWrap/>
            <w:vAlign w:val="center"/>
            <w:hideMark/>
          </w:tcPr>
          <w:p w14:paraId="13CFAE2A" w14:textId="77777777" w:rsidR="005D324B" w:rsidRPr="005D324B" w:rsidRDefault="005D324B" w:rsidP="005D324B">
            <w:pPr>
              <w:jc w:val="center"/>
              <w:rPr>
                <w:rFonts w:cs="Calibri"/>
                <w:b/>
                <w:bCs/>
                <w:color w:val="FFFFFF"/>
                <w:sz w:val="20"/>
              </w:rPr>
            </w:pPr>
            <w:r w:rsidRPr="005D324B">
              <w:rPr>
                <w:rFonts w:cs="Calibri"/>
                <w:b/>
                <w:bCs/>
                <w:color w:val="FFFFFF"/>
                <w:sz w:val="20"/>
              </w:rPr>
              <w:t>2019</w:t>
            </w:r>
          </w:p>
        </w:tc>
        <w:tc>
          <w:tcPr>
            <w:tcW w:w="1000" w:type="dxa"/>
            <w:tcBorders>
              <w:top w:val="single" w:sz="4" w:space="0" w:color="auto"/>
              <w:left w:val="nil"/>
              <w:bottom w:val="single" w:sz="4" w:space="0" w:color="auto"/>
              <w:right w:val="nil"/>
            </w:tcBorders>
            <w:shd w:val="clear" w:color="D9E1F2" w:fill="305496"/>
            <w:noWrap/>
            <w:vAlign w:val="center"/>
            <w:hideMark/>
          </w:tcPr>
          <w:p w14:paraId="21593483" w14:textId="77777777" w:rsidR="005D324B" w:rsidRPr="005D324B" w:rsidRDefault="005D324B" w:rsidP="005D324B">
            <w:pPr>
              <w:jc w:val="center"/>
              <w:rPr>
                <w:rFonts w:cs="Calibri"/>
                <w:b/>
                <w:bCs/>
                <w:color w:val="FFFFFF"/>
                <w:sz w:val="20"/>
              </w:rPr>
            </w:pPr>
            <w:r w:rsidRPr="005D324B">
              <w:rPr>
                <w:rFonts w:cs="Calibri"/>
                <w:b/>
                <w:bCs/>
                <w:color w:val="FFFFFF"/>
                <w:sz w:val="20"/>
              </w:rPr>
              <w:t>2020</w:t>
            </w:r>
          </w:p>
        </w:tc>
        <w:tc>
          <w:tcPr>
            <w:tcW w:w="1000" w:type="dxa"/>
            <w:tcBorders>
              <w:top w:val="single" w:sz="4" w:space="0" w:color="auto"/>
              <w:left w:val="nil"/>
              <w:bottom w:val="single" w:sz="4" w:space="0" w:color="auto"/>
              <w:right w:val="nil"/>
            </w:tcBorders>
            <w:shd w:val="clear" w:color="D9E1F2" w:fill="305496"/>
            <w:noWrap/>
            <w:vAlign w:val="center"/>
            <w:hideMark/>
          </w:tcPr>
          <w:p w14:paraId="7640425B" w14:textId="77777777" w:rsidR="005D324B" w:rsidRPr="005D324B" w:rsidRDefault="005D324B" w:rsidP="005D324B">
            <w:pPr>
              <w:jc w:val="center"/>
              <w:rPr>
                <w:rFonts w:cs="Calibri"/>
                <w:b/>
                <w:bCs/>
                <w:color w:val="FFFFFF"/>
                <w:sz w:val="20"/>
              </w:rPr>
            </w:pPr>
            <w:r w:rsidRPr="005D324B">
              <w:rPr>
                <w:rFonts w:cs="Calibri"/>
                <w:b/>
                <w:bCs/>
                <w:color w:val="FFFFFF"/>
                <w:sz w:val="20"/>
              </w:rPr>
              <w:t>2021</w:t>
            </w:r>
          </w:p>
        </w:tc>
        <w:tc>
          <w:tcPr>
            <w:tcW w:w="1000" w:type="dxa"/>
            <w:tcBorders>
              <w:top w:val="single" w:sz="4" w:space="0" w:color="auto"/>
              <w:left w:val="nil"/>
              <w:bottom w:val="single" w:sz="4" w:space="0" w:color="auto"/>
              <w:right w:val="nil"/>
            </w:tcBorders>
            <w:shd w:val="clear" w:color="D9E1F2" w:fill="305496"/>
            <w:noWrap/>
            <w:vAlign w:val="center"/>
            <w:hideMark/>
          </w:tcPr>
          <w:p w14:paraId="1A3E82D0" w14:textId="77777777" w:rsidR="005D324B" w:rsidRPr="005D324B" w:rsidRDefault="005D324B" w:rsidP="005D324B">
            <w:pPr>
              <w:jc w:val="center"/>
              <w:rPr>
                <w:rFonts w:cs="Calibri"/>
                <w:b/>
                <w:bCs/>
                <w:color w:val="FFFFFF"/>
                <w:sz w:val="20"/>
              </w:rPr>
            </w:pPr>
            <w:r w:rsidRPr="005D324B">
              <w:rPr>
                <w:rFonts w:cs="Calibri"/>
                <w:b/>
                <w:bCs/>
                <w:color w:val="FFFFFF"/>
                <w:sz w:val="20"/>
              </w:rPr>
              <w:t>2022</w:t>
            </w:r>
          </w:p>
        </w:tc>
        <w:tc>
          <w:tcPr>
            <w:tcW w:w="1000" w:type="dxa"/>
            <w:tcBorders>
              <w:top w:val="single" w:sz="4" w:space="0" w:color="auto"/>
              <w:left w:val="nil"/>
              <w:bottom w:val="single" w:sz="4" w:space="0" w:color="auto"/>
              <w:right w:val="nil"/>
            </w:tcBorders>
            <w:shd w:val="clear" w:color="D9E1F2" w:fill="305496"/>
            <w:noWrap/>
            <w:vAlign w:val="center"/>
            <w:hideMark/>
          </w:tcPr>
          <w:p w14:paraId="6B2D32D0" w14:textId="77777777" w:rsidR="005D324B" w:rsidRPr="005D324B" w:rsidRDefault="005D324B" w:rsidP="005D324B">
            <w:pPr>
              <w:jc w:val="center"/>
              <w:rPr>
                <w:rFonts w:cs="Calibri"/>
                <w:b/>
                <w:bCs/>
                <w:color w:val="FFFFFF"/>
                <w:sz w:val="20"/>
              </w:rPr>
            </w:pPr>
            <w:r w:rsidRPr="005D324B">
              <w:rPr>
                <w:rFonts w:cs="Calibri"/>
                <w:b/>
                <w:bCs/>
                <w:color w:val="FFFFFF"/>
                <w:sz w:val="20"/>
              </w:rPr>
              <w:t>2023</w:t>
            </w:r>
          </w:p>
        </w:tc>
        <w:tc>
          <w:tcPr>
            <w:tcW w:w="1949" w:type="dxa"/>
            <w:gridSpan w:val="2"/>
            <w:tcBorders>
              <w:top w:val="single" w:sz="4" w:space="0" w:color="auto"/>
              <w:left w:val="nil"/>
              <w:bottom w:val="single" w:sz="4" w:space="0" w:color="auto"/>
              <w:right w:val="nil"/>
            </w:tcBorders>
            <w:shd w:val="clear" w:color="D9E1F2" w:fill="305496"/>
            <w:vAlign w:val="center"/>
            <w:hideMark/>
          </w:tcPr>
          <w:p w14:paraId="400339D1" w14:textId="77777777" w:rsidR="005D324B" w:rsidRPr="005D324B" w:rsidRDefault="005D324B" w:rsidP="005D324B">
            <w:pPr>
              <w:jc w:val="center"/>
              <w:rPr>
                <w:rFonts w:cs="Calibri"/>
                <w:b/>
                <w:bCs/>
                <w:color w:val="FFFFFF"/>
                <w:sz w:val="20"/>
              </w:rPr>
            </w:pPr>
            <w:r w:rsidRPr="005D324B">
              <w:rPr>
                <w:rFonts w:cs="Calibri"/>
                <w:b/>
                <w:bCs/>
                <w:color w:val="FFFFFF"/>
                <w:sz w:val="20"/>
              </w:rPr>
              <w:t>2019-2023</w:t>
            </w:r>
          </w:p>
        </w:tc>
      </w:tr>
      <w:tr w:rsidR="005D324B" w:rsidRPr="005D324B" w14:paraId="7AB17BAC"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36E0E4A" w14:textId="77777777" w:rsidR="005D324B" w:rsidRPr="005D324B" w:rsidRDefault="005D324B" w:rsidP="005D324B">
            <w:pPr>
              <w:rPr>
                <w:rFonts w:cs="Calibri"/>
                <w:color w:val="000000"/>
                <w:sz w:val="20"/>
              </w:rPr>
            </w:pPr>
            <w:r w:rsidRPr="005D324B">
              <w:rPr>
                <w:rFonts w:cs="Calibri"/>
                <w:color w:val="000000"/>
                <w:sz w:val="20"/>
              </w:rPr>
              <w:t>Alabama</w:t>
            </w:r>
          </w:p>
        </w:tc>
        <w:tc>
          <w:tcPr>
            <w:tcW w:w="1000" w:type="dxa"/>
            <w:tcBorders>
              <w:top w:val="nil"/>
              <w:left w:val="nil"/>
              <w:bottom w:val="single" w:sz="4" w:space="0" w:color="auto"/>
              <w:right w:val="nil"/>
            </w:tcBorders>
            <w:shd w:val="clear" w:color="auto" w:fill="auto"/>
            <w:noWrap/>
            <w:vAlign w:val="center"/>
            <w:hideMark/>
          </w:tcPr>
          <w:p w14:paraId="20270094" w14:textId="77777777" w:rsidR="005D324B" w:rsidRPr="005D324B" w:rsidRDefault="005D324B" w:rsidP="005D324B">
            <w:pPr>
              <w:jc w:val="center"/>
              <w:rPr>
                <w:rFonts w:cs="Calibri"/>
                <w:color w:val="000000"/>
                <w:sz w:val="20"/>
              </w:rPr>
            </w:pPr>
            <w:r w:rsidRPr="005D324B">
              <w:rPr>
                <w:rFonts w:cs="Calibri"/>
                <w:color w:val="000000"/>
                <w:sz w:val="20"/>
              </w:rPr>
              <w:t>129</w:t>
            </w:r>
          </w:p>
        </w:tc>
        <w:tc>
          <w:tcPr>
            <w:tcW w:w="1000" w:type="dxa"/>
            <w:tcBorders>
              <w:top w:val="nil"/>
              <w:left w:val="nil"/>
              <w:bottom w:val="single" w:sz="4" w:space="0" w:color="auto"/>
              <w:right w:val="nil"/>
            </w:tcBorders>
            <w:shd w:val="clear" w:color="auto" w:fill="auto"/>
            <w:noWrap/>
            <w:vAlign w:val="center"/>
            <w:hideMark/>
          </w:tcPr>
          <w:p w14:paraId="134E037D" w14:textId="77777777" w:rsidR="005D324B" w:rsidRPr="005D324B" w:rsidRDefault="005D324B" w:rsidP="005D324B">
            <w:pPr>
              <w:jc w:val="center"/>
              <w:rPr>
                <w:rFonts w:cs="Calibri"/>
                <w:color w:val="000000"/>
                <w:sz w:val="20"/>
              </w:rPr>
            </w:pPr>
            <w:r w:rsidRPr="005D324B">
              <w:rPr>
                <w:rFonts w:cs="Calibri"/>
                <w:color w:val="000000"/>
                <w:sz w:val="20"/>
              </w:rPr>
              <w:t>119</w:t>
            </w:r>
          </w:p>
        </w:tc>
        <w:tc>
          <w:tcPr>
            <w:tcW w:w="1000" w:type="dxa"/>
            <w:tcBorders>
              <w:top w:val="nil"/>
              <w:left w:val="nil"/>
              <w:bottom w:val="single" w:sz="4" w:space="0" w:color="auto"/>
              <w:right w:val="nil"/>
            </w:tcBorders>
            <w:shd w:val="clear" w:color="auto" w:fill="auto"/>
            <w:noWrap/>
            <w:vAlign w:val="center"/>
            <w:hideMark/>
          </w:tcPr>
          <w:p w14:paraId="32E87E18" w14:textId="77777777" w:rsidR="005D324B" w:rsidRPr="005D324B" w:rsidRDefault="005D324B" w:rsidP="005D324B">
            <w:pPr>
              <w:jc w:val="center"/>
              <w:rPr>
                <w:rFonts w:cs="Calibri"/>
                <w:color w:val="000000"/>
                <w:sz w:val="20"/>
              </w:rPr>
            </w:pPr>
            <w:r w:rsidRPr="005D324B">
              <w:rPr>
                <w:rFonts w:cs="Calibri"/>
                <w:color w:val="000000"/>
                <w:sz w:val="20"/>
              </w:rPr>
              <w:t>120</w:t>
            </w:r>
          </w:p>
        </w:tc>
        <w:tc>
          <w:tcPr>
            <w:tcW w:w="1000" w:type="dxa"/>
            <w:tcBorders>
              <w:top w:val="nil"/>
              <w:left w:val="nil"/>
              <w:bottom w:val="single" w:sz="4" w:space="0" w:color="auto"/>
              <w:right w:val="nil"/>
            </w:tcBorders>
            <w:shd w:val="clear" w:color="auto" w:fill="auto"/>
            <w:noWrap/>
            <w:vAlign w:val="center"/>
            <w:hideMark/>
          </w:tcPr>
          <w:p w14:paraId="1C3A3497" w14:textId="77777777" w:rsidR="005D324B" w:rsidRPr="005D324B" w:rsidRDefault="005D324B" w:rsidP="005D324B">
            <w:pPr>
              <w:jc w:val="center"/>
              <w:rPr>
                <w:rFonts w:cs="Calibri"/>
                <w:color w:val="000000"/>
                <w:sz w:val="20"/>
              </w:rPr>
            </w:pPr>
            <w:r w:rsidRPr="005D324B">
              <w:rPr>
                <w:rFonts w:cs="Calibri"/>
                <w:color w:val="000000"/>
                <w:sz w:val="20"/>
              </w:rPr>
              <w:t>113</w:t>
            </w:r>
          </w:p>
        </w:tc>
        <w:tc>
          <w:tcPr>
            <w:tcW w:w="1000" w:type="dxa"/>
            <w:tcBorders>
              <w:top w:val="nil"/>
              <w:left w:val="nil"/>
              <w:bottom w:val="single" w:sz="4" w:space="0" w:color="auto"/>
              <w:right w:val="nil"/>
            </w:tcBorders>
            <w:shd w:val="clear" w:color="auto" w:fill="auto"/>
            <w:noWrap/>
            <w:vAlign w:val="center"/>
            <w:hideMark/>
          </w:tcPr>
          <w:p w14:paraId="00003E7B" w14:textId="77777777" w:rsidR="005D324B" w:rsidRPr="005D324B" w:rsidRDefault="005D324B" w:rsidP="005D324B">
            <w:pPr>
              <w:jc w:val="center"/>
              <w:rPr>
                <w:rFonts w:cs="Calibri"/>
                <w:color w:val="000000"/>
                <w:sz w:val="20"/>
              </w:rPr>
            </w:pPr>
            <w:r w:rsidRPr="005D324B">
              <w:rPr>
                <w:rFonts w:cs="Calibri"/>
                <w:color w:val="000000"/>
                <w:sz w:val="20"/>
              </w:rPr>
              <w:t>114</w:t>
            </w:r>
          </w:p>
        </w:tc>
        <w:tc>
          <w:tcPr>
            <w:tcW w:w="927" w:type="dxa"/>
            <w:tcBorders>
              <w:top w:val="nil"/>
              <w:left w:val="nil"/>
              <w:bottom w:val="single" w:sz="4" w:space="0" w:color="auto"/>
              <w:right w:val="nil"/>
            </w:tcBorders>
            <w:shd w:val="clear" w:color="auto" w:fill="auto"/>
            <w:noWrap/>
            <w:vAlign w:val="bottom"/>
            <w:hideMark/>
          </w:tcPr>
          <w:p w14:paraId="24699BF3" w14:textId="77777777" w:rsidR="005D324B" w:rsidRPr="005D324B" w:rsidRDefault="005D324B" w:rsidP="005D324B">
            <w:pPr>
              <w:jc w:val="center"/>
              <w:rPr>
                <w:rFonts w:cs="Calibri"/>
                <w:color w:val="000000"/>
                <w:sz w:val="20"/>
              </w:rPr>
            </w:pPr>
            <w:r w:rsidRPr="005D324B">
              <w:rPr>
                <w:rFonts w:cs="Calibri"/>
                <w:color w:val="000000"/>
                <w:sz w:val="20"/>
              </w:rPr>
              <w:t>-15</w:t>
            </w:r>
          </w:p>
        </w:tc>
        <w:tc>
          <w:tcPr>
            <w:tcW w:w="1022" w:type="dxa"/>
            <w:tcBorders>
              <w:top w:val="nil"/>
              <w:left w:val="nil"/>
              <w:bottom w:val="single" w:sz="4" w:space="0" w:color="auto"/>
              <w:right w:val="nil"/>
            </w:tcBorders>
            <w:shd w:val="clear" w:color="auto" w:fill="auto"/>
            <w:noWrap/>
            <w:vAlign w:val="bottom"/>
            <w:hideMark/>
          </w:tcPr>
          <w:p w14:paraId="029073A7" w14:textId="77777777" w:rsidR="005D324B" w:rsidRPr="005D324B" w:rsidRDefault="005D324B" w:rsidP="005D324B">
            <w:pPr>
              <w:jc w:val="center"/>
              <w:rPr>
                <w:rFonts w:cs="Calibri"/>
                <w:color w:val="000000"/>
                <w:sz w:val="20"/>
              </w:rPr>
            </w:pPr>
            <w:r w:rsidRPr="005D324B">
              <w:rPr>
                <w:rFonts w:cs="Calibri"/>
                <w:color w:val="000000"/>
                <w:sz w:val="20"/>
              </w:rPr>
              <w:t>-12%</w:t>
            </w:r>
          </w:p>
        </w:tc>
      </w:tr>
      <w:tr w:rsidR="005D324B" w:rsidRPr="005D324B" w14:paraId="6AEE6C6D"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05E2638F" w14:textId="77777777" w:rsidR="005D324B" w:rsidRPr="005D324B" w:rsidRDefault="005D324B" w:rsidP="005D324B">
            <w:pPr>
              <w:rPr>
                <w:rFonts w:cs="Calibri"/>
                <w:color w:val="000000"/>
                <w:sz w:val="20"/>
              </w:rPr>
            </w:pPr>
            <w:r w:rsidRPr="005D324B">
              <w:rPr>
                <w:rFonts w:cs="Calibri"/>
                <w:color w:val="000000"/>
                <w:sz w:val="20"/>
              </w:rPr>
              <w:t>Alaska</w:t>
            </w:r>
          </w:p>
        </w:tc>
        <w:tc>
          <w:tcPr>
            <w:tcW w:w="1000" w:type="dxa"/>
            <w:tcBorders>
              <w:top w:val="nil"/>
              <w:left w:val="nil"/>
              <w:bottom w:val="single" w:sz="4" w:space="0" w:color="auto"/>
              <w:right w:val="nil"/>
            </w:tcBorders>
            <w:shd w:val="clear" w:color="auto" w:fill="auto"/>
            <w:noWrap/>
            <w:vAlign w:val="center"/>
            <w:hideMark/>
          </w:tcPr>
          <w:p w14:paraId="591228E8"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00" w:type="dxa"/>
            <w:tcBorders>
              <w:top w:val="nil"/>
              <w:left w:val="nil"/>
              <w:bottom w:val="single" w:sz="4" w:space="0" w:color="auto"/>
              <w:right w:val="nil"/>
            </w:tcBorders>
            <w:shd w:val="clear" w:color="auto" w:fill="auto"/>
            <w:noWrap/>
            <w:vAlign w:val="center"/>
            <w:hideMark/>
          </w:tcPr>
          <w:p w14:paraId="28B842D2"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3FE83367" w14:textId="77777777" w:rsidR="005D324B" w:rsidRPr="005D324B" w:rsidRDefault="005D324B" w:rsidP="005D324B">
            <w:pPr>
              <w:jc w:val="center"/>
              <w:rPr>
                <w:rFonts w:cs="Calibri"/>
                <w:color w:val="000000"/>
                <w:sz w:val="20"/>
              </w:rPr>
            </w:pPr>
            <w:r w:rsidRPr="005D324B">
              <w:rPr>
                <w:rFonts w:cs="Calibri"/>
                <w:color w:val="000000"/>
                <w:sz w:val="20"/>
              </w:rPr>
              <w:t>15</w:t>
            </w:r>
          </w:p>
        </w:tc>
        <w:tc>
          <w:tcPr>
            <w:tcW w:w="1000" w:type="dxa"/>
            <w:tcBorders>
              <w:top w:val="nil"/>
              <w:left w:val="nil"/>
              <w:bottom w:val="single" w:sz="4" w:space="0" w:color="auto"/>
              <w:right w:val="nil"/>
            </w:tcBorders>
            <w:shd w:val="clear" w:color="auto" w:fill="auto"/>
            <w:noWrap/>
            <w:vAlign w:val="center"/>
            <w:hideMark/>
          </w:tcPr>
          <w:p w14:paraId="4A08CA56"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4E472FDD" w14:textId="77777777" w:rsidR="005D324B" w:rsidRPr="005D324B" w:rsidRDefault="005D324B" w:rsidP="005D324B">
            <w:pPr>
              <w:jc w:val="center"/>
              <w:rPr>
                <w:rFonts w:cs="Calibri"/>
                <w:color w:val="000000"/>
                <w:sz w:val="20"/>
              </w:rPr>
            </w:pPr>
            <w:r w:rsidRPr="005D324B">
              <w:rPr>
                <w:rFonts w:cs="Calibri"/>
                <w:color w:val="000000"/>
                <w:sz w:val="20"/>
              </w:rPr>
              <w:t>13</w:t>
            </w:r>
          </w:p>
        </w:tc>
        <w:tc>
          <w:tcPr>
            <w:tcW w:w="927" w:type="dxa"/>
            <w:tcBorders>
              <w:top w:val="nil"/>
              <w:left w:val="nil"/>
              <w:bottom w:val="single" w:sz="4" w:space="0" w:color="auto"/>
              <w:right w:val="nil"/>
            </w:tcBorders>
            <w:shd w:val="clear" w:color="auto" w:fill="auto"/>
            <w:noWrap/>
            <w:vAlign w:val="bottom"/>
            <w:hideMark/>
          </w:tcPr>
          <w:p w14:paraId="1C041D56"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64E61CDE" w14:textId="77777777" w:rsidR="005D324B" w:rsidRPr="005D324B" w:rsidRDefault="005D324B" w:rsidP="005D324B">
            <w:pPr>
              <w:jc w:val="center"/>
              <w:rPr>
                <w:rFonts w:cs="Calibri"/>
                <w:color w:val="000000"/>
                <w:sz w:val="20"/>
              </w:rPr>
            </w:pPr>
            <w:r w:rsidRPr="005D324B">
              <w:rPr>
                <w:rFonts w:cs="Calibri"/>
                <w:color w:val="000000"/>
                <w:sz w:val="20"/>
              </w:rPr>
              <w:t>-19%</w:t>
            </w:r>
          </w:p>
        </w:tc>
      </w:tr>
      <w:tr w:rsidR="005D324B" w:rsidRPr="005D324B" w14:paraId="05D26C0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7C2947F" w14:textId="77777777" w:rsidR="005D324B" w:rsidRPr="005D324B" w:rsidRDefault="005D324B" w:rsidP="005D324B">
            <w:pPr>
              <w:rPr>
                <w:rFonts w:cs="Calibri"/>
                <w:color w:val="000000"/>
                <w:sz w:val="20"/>
              </w:rPr>
            </w:pPr>
            <w:r w:rsidRPr="005D324B">
              <w:rPr>
                <w:rFonts w:cs="Calibri"/>
                <w:color w:val="000000"/>
                <w:sz w:val="20"/>
              </w:rPr>
              <w:t>Arizona</w:t>
            </w:r>
          </w:p>
        </w:tc>
        <w:tc>
          <w:tcPr>
            <w:tcW w:w="1000" w:type="dxa"/>
            <w:tcBorders>
              <w:top w:val="nil"/>
              <w:left w:val="nil"/>
              <w:bottom w:val="single" w:sz="4" w:space="0" w:color="auto"/>
              <w:right w:val="nil"/>
            </w:tcBorders>
            <w:shd w:val="clear" w:color="auto" w:fill="auto"/>
            <w:noWrap/>
            <w:vAlign w:val="center"/>
            <w:hideMark/>
          </w:tcPr>
          <w:p w14:paraId="5EC7B290" w14:textId="77777777" w:rsidR="005D324B" w:rsidRPr="005D324B" w:rsidRDefault="005D324B" w:rsidP="005D324B">
            <w:pPr>
              <w:jc w:val="center"/>
              <w:rPr>
                <w:rFonts w:cs="Calibri"/>
                <w:color w:val="000000"/>
                <w:sz w:val="20"/>
              </w:rPr>
            </w:pPr>
            <w:r w:rsidRPr="005D324B">
              <w:rPr>
                <w:rFonts w:cs="Calibri"/>
                <w:color w:val="000000"/>
                <w:sz w:val="20"/>
              </w:rPr>
              <w:t>135</w:t>
            </w:r>
          </w:p>
        </w:tc>
        <w:tc>
          <w:tcPr>
            <w:tcW w:w="1000" w:type="dxa"/>
            <w:tcBorders>
              <w:top w:val="nil"/>
              <w:left w:val="nil"/>
              <w:bottom w:val="single" w:sz="4" w:space="0" w:color="auto"/>
              <w:right w:val="nil"/>
            </w:tcBorders>
            <w:shd w:val="clear" w:color="auto" w:fill="auto"/>
            <w:noWrap/>
            <w:vAlign w:val="center"/>
            <w:hideMark/>
          </w:tcPr>
          <w:p w14:paraId="2E1A23C4" w14:textId="77777777" w:rsidR="005D324B" w:rsidRPr="005D324B" w:rsidRDefault="005D324B" w:rsidP="005D324B">
            <w:pPr>
              <w:jc w:val="center"/>
              <w:rPr>
                <w:rFonts w:cs="Calibri"/>
                <w:color w:val="000000"/>
                <w:sz w:val="20"/>
              </w:rPr>
            </w:pPr>
            <w:r w:rsidRPr="005D324B">
              <w:rPr>
                <w:rFonts w:cs="Calibri"/>
                <w:color w:val="000000"/>
                <w:sz w:val="20"/>
              </w:rPr>
              <w:t>135</w:t>
            </w:r>
          </w:p>
        </w:tc>
        <w:tc>
          <w:tcPr>
            <w:tcW w:w="1000" w:type="dxa"/>
            <w:tcBorders>
              <w:top w:val="nil"/>
              <w:left w:val="nil"/>
              <w:bottom w:val="single" w:sz="4" w:space="0" w:color="auto"/>
              <w:right w:val="nil"/>
            </w:tcBorders>
            <w:shd w:val="clear" w:color="auto" w:fill="auto"/>
            <w:noWrap/>
            <w:vAlign w:val="center"/>
            <w:hideMark/>
          </w:tcPr>
          <w:p w14:paraId="3BDAEDCB" w14:textId="77777777" w:rsidR="005D324B" w:rsidRPr="005D324B" w:rsidRDefault="005D324B" w:rsidP="005D324B">
            <w:pPr>
              <w:jc w:val="center"/>
              <w:rPr>
                <w:rFonts w:cs="Calibri"/>
                <w:color w:val="000000"/>
                <w:sz w:val="20"/>
              </w:rPr>
            </w:pPr>
            <w:r w:rsidRPr="005D324B">
              <w:rPr>
                <w:rFonts w:cs="Calibri"/>
                <w:color w:val="000000"/>
                <w:sz w:val="20"/>
              </w:rPr>
              <w:t>136</w:t>
            </w:r>
          </w:p>
        </w:tc>
        <w:tc>
          <w:tcPr>
            <w:tcW w:w="1000" w:type="dxa"/>
            <w:tcBorders>
              <w:top w:val="nil"/>
              <w:left w:val="nil"/>
              <w:bottom w:val="single" w:sz="4" w:space="0" w:color="auto"/>
              <w:right w:val="nil"/>
            </w:tcBorders>
            <w:shd w:val="clear" w:color="auto" w:fill="auto"/>
            <w:noWrap/>
            <w:vAlign w:val="center"/>
            <w:hideMark/>
          </w:tcPr>
          <w:p w14:paraId="58E16B8C" w14:textId="77777777" w:rsidR="005D324B" w:rsidRPr="005D324B" w:rsidRDefault="005D324B" w:rsidP="005D324B">
            <w:pPr>
              <w:jc w:val="center"/>
              <w:rPr>
                <w:rFonts w:cs="Calibri"/>
                <w:color w:val="000000"/>
                <w:sz w:val="20"/>
              </w:rPr>
            </w:pPr>
            <w:r w:rsidRPr="005D324B">
              <w:rPr>
                <w:rFonts w:cs="Calibri"/>
                <w:color w:val="000000"/>
                <w:sz w:val="20"/>
              </w:rPr>
              <w:t>137</w:t>
            </w:r>
          </w:p>
        </w:tc>
        <w:tc>
          <w:tcPr>
            <w:tcW w:w="1000" w:type="dxa"/>
            <w:tcBorders>
              <w:top w:val="nil"/>
              <w:left w:val="nil"/>
              <w:bottom w:val="single" w:sz="4" w:space="0" w:color="auto"/>
              <w:right w:val="nil"/>
            </w:tcBorders>
            <w:shd w:val="clear" w:color="auto" w:fill="auto"/>
            <w:noWrap/>
            <w:vAlign w:val="center"/>
            <w:hideMark/>
          </w:tcPr>
          <w:p w14:paraId="5AE7BBCA" w14:textId="77777777" w:rsidR="005D324B" w:rsidRPr="005D324B" w:rsidRDefault="005D324B" w:rsidP="005D324B">
            <w:pPr>
              <w:jc w:val="center"/>
              <w:rPr>
                <w:rFonts w:cs="Calibri"/>
                <w:color w:val="000000"/>
                <w:sz w:val="20"/>
              </w:rPr>
            </w:pPr>
            <w:r w:rsidRPr="005D324B">
              <w:rPr>
                <w:rFonts w:cs="Calibri"/>
                <w:color w:val="000000"/>
                <w:sz w:val="20"/>
              </w:rPr>
              <w:t>135</w:t>
            </w:r>
          </w:p>
        </w:tc>
        <w:tc>
          <w:tcPr>
            <w:tcW w:w="927" w:type="dxa"/>
            <w:tcBorders>
              <w:top w:val="nil"/>
              <w:left w:val="nil"/>
              <w:bottom w:val="single" w:sz="4" w:space="0" w:color="auto"/>
              <w:right w:val="nil"/>
            </w:tcBorders>
            <w:shd w:val="clear" w:color="auto" w:fill="auto"/>
            <w:noWrap/>
            <w:vAlign w:val="bottom"/>
            <w:hideMark/>
          </w:tcPr>
          <w:p w14:paraId="071C1DBC" w14:textId="77777777" w:rsidR="005D324B" w:rsidRPr="005D324B" w:rsidRDefault="005D324B" w:rsidP="005D324B">
            <w:pPr>
              <w:jc w:val="center"/>
              <w:rPr>
                <w:rFonts w:cs="Calibri"/>
                <w:color w:val="000000"/>
                <w:sz w:val="20"/>
              </w:rPr>
            </w:pPr>
            <w:r w:rsidRPr="005D324B">
              <w:rPr>
                <w:rFonts w:cs="Calibri"/>
                <w:color w:val="000000"/>
                <w:sz w:val="20"/>
              </w:rPr>
              <w:t>0</w:t>
            </w:r>
          </w:p>
        </w:tc>
        <w:tc>
          <w:tcPr>
            <w:tcW w:w="1022" w:type="dxa"/>
            <w:tcBorders>
              <w:top w:val="nil"/>
              <w:left w:val="nil"/>
              <w:bottom w:val="single" w:sz="4" w:space="0" w:color="auto"/>
              <w:right w:val="nil"/>
            </w:tcBorders>
            <w:shd w:val="clear" w:color="auto" w:fill="auto"/>
            <w:noWrap/>
            <w:vAlign w:val="bottom"/>
            <w:hideMark/>
          </w:tcPr>
          <w:p w14:paraId="5CAD779B" w14:textId="77777777" w:rsidR="005D324B" w:rsidRPr="005D324B" w:rsidRDefault="005D324B" w:rsidP="005D324B">
            <w:pPr>
              <w:jc w:val="center"/>
              <w:rPr>
                <w:rFonts w:cs="Calibri"/>
                <w:color w:val="000000"/>
                <w:sz w:val="20"/>
              </w:rPr>
            </w:pPr>
            <w:r w:rsidRPr="005D324B">
              <w:rPr>
                <w:rFonts w:cs="Calibri"/>
                <w:color w:val="000000"/>
                <w:sz w:val="20"/>
              </w:rPr>
              <w:t>0%</w:t>
            </w:r>
          </w:p>
        </w:tc>
      </w:tr>
      <w:tr w:rsidR="005D324B" w:rsidRPr="005D324B" w14:paraId="04F3DDC7"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485E4AF" w14:textId="77777777" w:rsidR="005D324B" w:rsidRPr="005D324B" w:rsidRDefault="005D324B" w:rsidP="005D324B">
            <w:pPr>
              <w:rPr>
                <w:rFonts w:cs="Calibri"/>
                <w:color w:val="000000"/>
                <w:sz w:val="20"/>
              </w:rPr>
            </w:pPr>
            <w:r w:rsidRPr="005D324B">
              <w:rPr>
                <w:rFonts w:cs="Calibri"/>
                <w:color w:val="000000"/>
                <w:sz w:val="20"/>
              </w:rPr>
              <w:t>Arkansas</w:t>
            </w:r>
          </w:p>
        </w:tc>
        <w:tc>
          <w:tcPr>
            <w:tcW w:w="1000" w:type="dxa"/>
            <w:tcBorders>
              <w:top w:val="nil"/>
              <w:left w:val="nil"/>
              <w:bottom w:val="single" w:sz="4" w:space="0" w:color="auto"/>
              <w:right w:val="nil"/>
            </w:tcBorders>
            <w:shd w:val="clear" w:color="auto" w:fill="auto"/>
            <w:noWrap/>
            <w:vAlign w:val="center"/>
            <w:hideMark/>
          </w:tcPr>
          <w:p w14:paraId="4FA2FF9D" w14:textId="77777777" w:rsidR="005D324B" w:rsidRPr="005D324B" w:rsidRDefault="005D324B" w:rsidP="005D324B">
            <w:pPr>
              <w:jc w:val="center"/>
              <w:rPr>
                <w:rFonts w:cs="Calibri"/>
                <w:color w:val="000000"/>
                <w:sz w:val="20"/>
              </w:rPr>
            </w:pPr>
            <w:r w:rsidRPr="005D324B">
              <w:rPr>
                <w:rFonts w:cs="Calibri"/>
                <w:color w:val="000000"/>
                <w:sz w:val="20"/>
              </w:rPr>
              <w:t>101</w:t>
            </w:r>
          </w:p>
        </w:tc>
        <w:tc>
          <w:tcPr>
            <w:tcW w:w="1000" w:type="dxa"/>
            <w:tcBorders>
              <w:top w:val="nil"/>
              <w:left w:val="nil"/>
              <w:bottom w:val="single" w:sz="4" w:space="0" w:color="auto"/>
              <w:right w:val="nil"/>
            </w:tcBorders>
            <w:shd w:val="clear" w:color="auto" w:fill="auto"/>
            <w:noWrap/>
            <w:vAlign w:val="center"/>
            <w:hideMark/>
          </w:tcPr>
          <w:p w14:paraId="3B35158F" w14:textId="77777777" w:rsidR="005D324B" w:rsidRPr="005D324B" w:rsidRDefault="005D324B" w:rsidP="005D324B">
            <w:pPr>
              <w:jc w:val="center"/>
              <w:rPr>
                <w:rFonts w:cs="Calibri"/>
                <w:color w:val="000000"/>
                <w:sz w:val="20"/>
              </w:rPr>
            </w:pPr>
            <w:r w:rsidRPr="005D324B">
              <w:rPr>
                <w:rFonts w:cs="Calibri"/>
                <w:color w:val="000000"/>
                <w:sz w:val="20"/>
              </w:rPr>
              <w:t>98</w:t>
            </w:r>
          </w:p>
        </w:tc>
        <w:tc>
          <w:tcPr>
            <w:tcW w:w="1000" w:type="dxa"/>
            <w:tcBorders>
              <w:top w:val="nil"/>
              <w:left w:val="nil"/>
              <w:bottom w:val="single" w:sz="4" w:space="0" w:color="auto"/>
              <w:right w:val="nil"/>
            </w:tcBorders>
            <w:shd w:val="clear" w:color="auto" w:fill="auto"/>
            <w:noWrap/>
            <w:vAlign w:val="center"/>
            <w:hideMark/>
          </w:tcPr>
          <w:p w14:paraId="7E88DB86" w14:textId="77777777" w:rsidR="005D324B" w:rsidRPr="005D324B" w:rsidRDefault="005D324B" w:rsidP="005D324B">
            <w:pPr>
              <w:jc w:val="center"/>
              <w:rPr>
                <w:rFonts w:cs="Calibri"/>
                <w:color w:val="000000"/>
                <w:sz w:val="20"/>
              </w:rPr>
            </w:pPr>
            <w:r w:rsidRPr="005D324B">
              <w:rPr>
                <w:rFonts w:cs="Calibri"/>
                <w:color w:val="000000"/>
                <w:sz w:val="20"/>
              </w:rPr>
              <w:t>94</w:t>
            </w:r>
          </w:p>
        </w:tc>
        <w:tc>
          <w:tcPr>
            <w:tcW w:w="1000" w:type="dxa"/>
            <w:tcBorders>
              <w:top w:val="nil"/>
              <w:left w:val="nil"/>
              <w:bottom w:val="single" w:sz="4" w:space="0" w:color="auto"/>
              <w:right w:val="nil"/>
            </w:tcBorders>
            <w:shd w:val="clear" w:color="auto" w:fill="auto"/>
            <w:noWrap/>
            <w:vAlign w:val="center"/>
            <w:hideMark/>
          </w:tcPr>
          <w:p w14:paraId="635A95F2" w14:textId="77777777" w:rsidR="005D324B" w:rsidRPr="005D324B" w:rsidRDefault="005D324B" w:rsidP="005D324B">
            <w:pPr>
              <w:jc w:val="center"/>
              <w:rPr>
                <w:rFonts w:cs="Calibri"/>
                <w:color w:val="000000"/>
                <w:sz w:val="20"/>
              </w:rPr>
            </w:pPr>
            <w:r w:rsidRPr="005D324B">
              <w:rPr>
                <w:rFonts w:cs="Calibri"/>
                <w:color w:val="000000"/>
                <w:sz w:val="20"/>
              </w:rPr>
              <w:t>96</w:t>
            </w:r>
          </w:p>
        </w:tc>
        <w:tc>
          <w:tcPr>
            <w:tcW w:w="1000" w:type="dxa"/>
            <w:tcBorders>
              <w:top w:val="nil"/>
              <w:left w:val="nil"/>
              <w:bottom w:val="single" w:sz="4" w:space="0" w:color="auto"/>
              <w:right w:val="nil"/>
            </w:tcBorders>
            <w:shd w:val="clear" w:color="auto" w:fill="auto"/>
            <w:noWrap/>
            <w:vAlign w:val="center"/>
            <w:hideMark/>
          </w:tcPr>
          <w:p w14:paraId="25373EE8" w14:textId="77777777" w:rsidR="005D324B" w:rsidRPr="005D324B" w:rsidRDefault="005D324B" w:rsidP="005D324B">
            <w:pPr>
              <w:jc w:val="center"/>
              <w:rPr>
                <w:rFonts w:cs="Calibri"/>
                <w:color w:val="000000"/>
                <w:sz w:val="20"/>
              </w:rPr>
            </w:pPr>
            <w:r w:rsidRPr="005D324B">
              <w:rPr>
                <w:rFonts w:cs="Calibri"/>
                <w:color w:val="000000"/>
                <w:sz w:val="20"/>
              </w:rPr>
              <w:t>93</w:t>
            </w:r>
          </w:p>
        </w:tc>
        <w:tc>
          <w:tcPr>
            <w:tcW w:w="927" w:type="dxa"/>
            <w:tcBorders>
              <w:top w:val="nil"/>
              <w:left w:val="nil"/>
              <w:bottom w:val="single" w:sz="4" w:space="0" w:color="auto"/>
              <w:right w:val="nil"/>
            </w:tcBorders>
            <w:shd w:val="clear" w:color="auto" w:fill="auto"/>
            <w:noWrap/>
            <w:vAlign w:val="bottom"/>
            <w:hideMark/>
          </w:tcPr>
          <w:p w14:paraId="53750387" w14:textId="77777777" w:rsidR="005D324B" w:rsidRPr="005D324B" w:rsidRDefault="005D324B" w:rsidP="005D324B">
            <w:pPr>
              <w:jc w:val="center"/>
              <w:rPr>
                <w:rFonts w:cs="Calibri"/>
                <w:color w:val="000000"/>
                <w:sz w:val="20"/>
              </w:rPr>
            </w:pPr>
            <w:r w:rsidRPr="005D324B">
              <w:rPr>
                <w:rFonts w:cs="Calibri"/>
                <w:color w:val="000000"/>
                <w:sz w:val="20"/>
              </w:rPr>
              <w:t>-8</w:t>
            </w:r>
          </w:p>
        </w:tc>
        <w:tc>
          <w:tcPr>
            <w:tcW w:w="1022" w:type="dxa"/>
            <w:tcBorders>
              <w:top w:val="nil"/>
              <w:left w:val="nil"/>
              <w:bottom w:val="single" w:sz="4" w:space="0" w:color="auto"/>
              <w:right w:val="nil"/>
            </w:tcBorders>
            <w:shd w:val="clear" w:color="auto" w:fill="auto"/>
            <w:noWrap/>
            <w:vAlign w:val="bottom"/>
            <w:hideMark/>
          </w:tcPr>
          <w:p w14:paraId="4B152331" w14:textId="77777777" w:rsidR="005D324B" w:rsidRPr="005D324B" w:rsidRDefault="005D324B" w:rsidP="005D324B">
            <w:pPr>
              <w:jc w:val="center"/>
              <w:rPr>
                <w:rFonts w:cs="Calibri"/>
                <w:color w:val="000000"/>
                <w:sz w:val="20"/>
              </w:rPr>
            </w:pPr>
            <w:r w:rsidRPr="005D324B">
              <w:rPr>
                <w:rFonts w:cs="Calibri"/>
                <w:color w:val="000000"/>
                <w:sz w:val="20"/>
              </w:rPr>
              <w:t>-8%</w:t>
            </w:r>
          </w:p>
        </w:tc>
      </w:tr>
      <w:tr w:rsidR="005D324B" w:rsidRPr="005D324B" w14:paraId="19E57BD2"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1A8FE001" w14:textId="77777777" w:rsidR="005D324B" w:rsidRPr="005D324B" w:rsidRDefault="005D324B" w:rsidP="005D324B">
            <w:pPr>
              <w:rPr>
                <w:rFonts w:cs="Calibri"/>
                <w:color w:val="000000"/>
                <w:sz w:val="20"/>
              </w:rPr>
            </w:pPr>
            <w:r w:rsidRPr="005D324B">
              <w:rPr>
                <w:rFonts w:cs="Calibri"/>
                <w:color w:val="000000"/>
                <w:sz w:val="20"/>
              </w:rPr>
              <w:t>California</w:t>
            </w:r>
          </w:p>
        </w:tc>
        <w:tc>
          <w:tcPr>
            <w:tcW w:w="1000" w:type="dxa"/>
            <w:tcBorders>
              <w:top w:val="nil"/>
              <w:left w:val="nil"/>
              <w:bottom w:val="single" w:sz="4" w:space="0" w:color="auto"/>
              <w:right w:val="nil"/>
            </w:tcBorders>
            <w:shd w:val="clear" w:color="auto" w:fill="auto"/>
            <w:noWrap/>
            <w:vAlign w:val="center"/>
            <w:hideMark/>
          </w:tcPr>
          <w:p w14:paraId="1C914F7F" w14:textId="77777777" w:rsidR="005D324B" w:rsidRPr="005D324B" w:rsidRDefault="005D324B" w:rsidP="005D324B">
            <w:pPr>
              <w:jc w:val="center"/>
              <w:rPr>
                <w:rFonts w:cs="Calibri"/>
                <w:color w:val="000000"/>
                <w:sz w:val="20"/>
              </w:rPr>
            </w:pPr>
            <w:r w:rsidRPr="005D324B">
              <w:rPr>
                <w:rFonts w:cs="Calibri"/>
                <w:color w:val="000000"/>
                <w:sz w:val="20"/>
              </w:rPr>
              <w:t>1,343</w:t>
            </w:r>
          </w:p>
        </w:tc>
        <w:tc>
          <w:tcPr>
            <w:tcW w:w="1000" w:type="dxa"/>
            <w:tcBorders>
              <w:top w:val="nil"/>
              <w:left w:val="nil"/>
              <w:bottom w:val="single" w:sz="4" w:space="0" w:color="auto"/>
              <w:right w:val="nil"/>
            </w:tcBorders>
            <w:shd w:val="clear" w:color="auto" w:fill="auto"/>
            <w:noWrap/>
            <w:vAlign w:val="center"/>
            <w:hideMark/>
          </w:tcPr>
          <w:p w14:paraId="0DA37968" w14:textId="77777777" w:rsidR="005D324B" w:rsidRPr="005D324B" w:rsidRDefault="005D324B" w:rsidP="005D324B">
            <w:pPr>
              <w:jc w:val="center"/>
              <w:rPr>
                <w:rFonts w:cs="Calibri"/>
                <w:color w:val="000000"/>
                <w:sz w:val="20"/>
              </w:rPr>
            </w:pPr>
            <w:r w:rsidRPr="005D324B">
              <w:rPr>
                <w:rFonts w:cs="Calibri"/>
                <w:color w:val="000000"/>
                <w:sz w:val="20"/>
              </w:rPr>
              <w:t>1,417</w:t>
            </w:r>
          </w:p>
        </w:tc>
        <w:tc>
          <w:tcPr>
            <w:tcW w:w="1000" w:type="dxa"/>
            <w:tcBorders>
              <w:top w:val="nil"/>
              <w:left w:val="nil"/>
              <w:bottom w:val="single" w:sz="4" w:space="0" w:color="auto"/>
              <w:right w:val="nil"/>
            </w:tcBorders>
            <w:shd w:val="clear" w:color="auto" w:fill="auto"/>
            <w:noWrap/>
            <w:vAlign w:val="center"/>
            <w:hideMark/>
          </w:tcPr>
          <w:p w14:paraId="53753C15" w14:textId="77777777" w:rsidR="005D324B" w:rsidRPr="005D324B" w:rsidRDefault="005D324B" w:rsidP="005D324B">
            <w:pPr>
              <w:jc w:val="center"/>
              <w:rPr>
                <w:rFonts w:cs="Calibri"/>
                <w:color w:val="000000"/>
                <w:sz w:val="20"/>
              </w:rPr>
            </w:pPr>
            <w:r w:rsidRPr="005D324B">
              <w:rPr>
                <w:rFonts w:cs="Calibri"/>
                <w:color w:val="000000"/>
                <w:sz w:val="20"/>
              </w:rPr>
              <w:t>1,546</w:t>
            </w:r>
          </w:p>
        </w:tc>
        <w:tc>
          <w:tcPr>
            <w:tcW w:w="1000" w:type="dxa"/>
            <w:tcBorders>
              <w:top w:val="nil"/>
              <w:left w:val="nil"/>
              <w:bottom w:val="single" w:sz="4" w:space="0" w:color="auto"/>
              <w:right w:val="nil"/>
            </w:tcBorders>
            <w:shd w:val="clear" w:color="auto" w:fill="auto"/>
            <w:noWrap/>
            <w:vAlign w:val="center"/>
            <w:hideMark/>
          </w:tcPr>
          <w:p w14:paraId="538EDF66" w14:textId="77777777" w:rsidR="005D324B" w:rsidRPr="005D324B" w:rsidRDefault="005D324B" w:rsidP="005D324B">
            <w:pPr>
              <w:jc w:val="center"/>
              <w:rPr>
                <w:rFonts w:cs="Calibri"/>
                <w:color w:val="000000"/>
                <w:sz w:val="20"/>
              </w:rPr>
            </w:pPr>
            <w:r w:rsidRPr="005D324B">
              <w:rPr>
                <w:rFonts w:cs="Calibri"/>
                <w:color w:val="000000"/>
                <w:sz w:val="20"/>
              </w:rPr>
              <w:t>1,743</w:t>
            </w:r>
          </w:p>
        </w:tc>
        <w:tc>
          <w:tcPr>
            <w:tcW w:w="1000" w:type="dxa"/>
            <w:tcBorders>
              <w:top w:val="nil"/>
              <w:left w:val="nil"/>
              <w:bottom w:val="single" w:sz="4" w:space="0" w:color="auto"/>
              <w:right w:val="nil"/>
            </w:tcBorders>
            <w:shd w:val="clear" w:color="auto" w:fill="auto"/>
            <w:noWrap/>
            <w:vAlign w:val="center"/>
            <w:hideMark/>
          </w:tcPr>
          <w:p w14:paraId="2B1D29DE" w14:textId="77777777" w:rsidR="005D324B" w:rsidRPr="005D324B" w:rsidRDefault="005D324B" w:rsidP="005D324B">
            <w:pPr>
              <w:jc w:val="center"/>
              <w:rPr>
                <w:rFonts w:cs="Calibri"/>
                <w:color w:val="000000"/>
                <w:sz w:val="20"/>
              </w:rPr>
            </w:pPr>
            <w:r w:rsidRPr="005D324B">
              <w:rPr>
                <w:rFonts w:cs="Calibri"/>
                <w:color w:val="000000"/>
                <w:sz w:val="20"/>
              </w:rPr>
              <w:t>1,877</w:t>
            </w:r>
          </w:p>
        </w:tc>
        <w:tc>
          <w:tcPr>
            <w:tcW w:w="927" w:type="dxa"/>
            <w:tcBorders>
              <w:top w:val="nil"/>
              <w:left w:val="nil"/>
              <w:bottom w:val="single" w:sz="4" w:space="0" w:color="auto"/>
              <w:right w:val="nil"/>
            </w:tcBorders>
            <w:shd w:val="clear" w:color="auto" w:fill="auto"/>
            <w:noWrap/>
            <w:vAlign w:val="bottom"/>
            <w:hideMark/>
          </w:tcPr>
          <w:p w14:paraId="18DBED03" w14:textId="77777777" w:rsidR="005D324B" w:rsidRPr="005D324B" w:rsidRDefault="005D324B" w:rsidP="005D324B">
            <w:pPr>
              <w:jc w:val="center"/>
              <w:rPr>
                <w:rFonts w:cs="Calibri"/>
                <w:color w:val="000000"/>
                <w:sz w:val="20"/>
              </w:rPr>
            </w:pPr>
            <w:r w:rsidRPr="005D324B">
              <w:rPr>
                <w:rFonts w:cs="Calibri"/>
                <w:color w:val="000000"/>
                <w:sz w:val="20"/>
              </w:rPr>
              <w:t>534</w:t>
            </w:r>
          </w:p>
        </w:tc>
        <w:tc>
          <w:tcPr>
            <w:tcW w:w="1022" w:type="dxa"/>
            <w:tcBorders>
              <w:top w:val="nil"/>
              <w:left w:val="nil"/>
              <w:bottom w:val="single" w:sz="4" w:space="0" w:color="auto"/>
              <w:right w:val="nil"/>
            </w:tcBorders>
            <w:shd w:val="clear" w:color="auto" w:fill="auto"/>
            <w:noWrap/>
            <w:vAlign w:val="bottom"/>
            <w:hideMark/>
          </w:tcPr>
          <w:p w14:paraId="48204AE1" w14:textId="77777777" w:rsidR="005D324B" w:rsidRPr="005D324B" w:rsidRDefault="005D324B" w:rsidP="005D324B">
            <w:pPr>
              <w:jc w:val="center"/>
              <w:rPr>
                <w:rFonts w:cs="Calibri"/>
                <w:color w:val="000000"/>
                <w:sz w:val="20"/>
              </w:rPr>
            </w:pPr>
            <w:r w:rsidRPr="005D324B">
              <w:rPr>
                <w:rFonts w:cs="Calibri"/>
                <w:color w:val="000000"/>
                <w:sz w:val="20"/>
              </w:rPr>
              <w:t>40%</w:t>
            </w:r>
          </w:p>
        </w:tc>
      </w:tr>
      <w:tr w:rsidR="005D324B" w:rsidRPr="005D324B" w14:paraId="129B3FFB"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13CBF837" w14:textId="77777777" w:rsidR="005D324B" w:rsidRPr="005D324B" w:rsidRDefault="005D324B" w:rsidP="005D324B">
            <w:pPr>
              <w:rPr>
                <w:rFonts w:cs="Calibri"/>
                <w:color w:val="000000"/>
                <w:sz w:val="20"/>
              </w:rPr>
            </w:pPr>
            <w:r w:rsidRPr="005D324B">
              <w:rPr>
                <w:rFonts w:cs="Calibri"/>
                <w:color w:val="000000"/>
                <w:sz w:val="20"/>
              </w:rPr>
              <w:t>Colorado</w:t>
            </w:r>
          </w:p>
        </w:tc>
        <w:tc>
          <w:tcPr>
            <w:tcW w:w="1000" w:type="dxa"/>
            <w:tcBorders>
              <w:top w:val="nil"/>
              <w:left w:val="nil"/>
              <w:bottom w:val="single" w:sz="4" w:space="0" w:color="auto"/>
              <w:right w:val="nil"/>
            </w:tcBorders>
            <w:shd w:val="clear" w:color="auto" w:fill="auto"/>
            <w:noWrap/>
            <w:vAlign w:val="center"/>
            <w:hideMark/>
          </w:tcPr>
          <w:p w14:paraId="12FE100E" w14:textId="77777777" w:rsidR="005D324B" w:rsidRPr="005D324B" w:rsidRDefault="005D324B" w:rsidP="005D324B">
            <w:pPr>
              <w:jc w:val="center"/>
              <w:rPr>
                <w:rFonts w:cs="Calibri"/>
                <w:color w:val="000000"/>
                <w:sz w:val="20"/>
              </w:rPr>
            </w:pPr>
            <w:r w:rsidRPr="005D324B">
              <w:rPr>
                <w:rFonts w:cs="Calibri"/>
                <w:color w:val="000000"/>
                <w:sz w:val="20"/>
              </w:rPr>
              <w:t>114</w:t>
            </w:r>
          </w:p>
        </w:tc>
        <w:tc>
          <w:tcPr>
            <w:tcW w:w="1000" w:type="dxa"/>
            <w:tcBorders>
              <w:top w:val="nil"/>
              <w:left w:val="nil"/>
              <w:bottom w:val="single" w:sz="4" w:space="0" w:color="auto"/>
              <w:right w:val="nil"/>
            </w:tcBorders>
            <w:shd w:val="clear" w:color="auto" w:fill="auto"/>
            <w:noWrap/>
            <w:vAlign w:val="center"/>
            <w:hideMark/>
          </w:tcPr>
          <w:p w14:paraId="37BA93CC" w14:textId="77777777" w:rsidR="005D324B" w:rsidRPr="005D324B" w:rsidRDefault="005D324B" w:rsidP="005D324B">
            <w:pPr>
              <w:jc w:val="center"/>
              <w:rPr>
                <w:rFonts w:cs="Calibri"/>
                <w:color w:val="000000"/>
                <w:sz w:val="20"/>
              </w:rPr>
            </w:pPr>
            <w:r w:rsidRPr="005D324B">
              <w:rPr>
                <w:rFonts w:cs="Calibri"/>
                <w:color w:val="000000"/>
                <w:sz w:val="20"/>
              </w:rPr>
              <w:t>112</w:t>
            </w:r>
          </w:p>
        </w:tc>
        <w:tc>
          <w:tcPr>
            <w:tcW w:w="1000" w:type="dxa"/>
            <w:tcBorders>
              <w:top w:val="nil"/>
              <w:left w:val="nil"/>
              <w:bottom w:val="single" w:sz="4" w:space="0" w:color="auto"/>
              <w:right w:val="nil"/>
            </w:tcBorders>
            <w:shd w:val="clear" w:color="auto" w:fill="auto"/>
            <w:noWrap/>
            <w:vAlign w:val="center"/>
            <w:hideMark/>
          </w:tcPr>
          <w:p w14:paraId="0BC4C11E" w14:textId="77777777" w:rsidR="005D324B" w:rsidRPr="005D324B" w:rsidRDefault="005D324B" w:rsidP="005D324B">
            <w:pPr>
              <w:jc w:val="center"/>
              <w:rPr>
                <w:rFonts w:cs="Calibri"/>
                <w:color w:val="000000"/>
                <w:sz w:val="20"/>
              </w:rPr>
            </w:pPr>
            <w:r w:rsidRPr="005D324B">
              <w:rPr>
                <w:rFonts w:cs="Calibri"/>
                <w:color w:val="000000"/>
                <w:sz w:val="20"/>
              </w:rPr>
              <w:t>109</w:t>
            </w:r>
          </w:p>
        </w:tc>
        <w:tc>
          <w:tcPr>
            <w:tcW w:w="1000" w:type="dxa"/>
            <w:tcBorders>
              <w:top w:val="nil"/>
              <w:left w:val="nil"/>
              <w:bottom w:val="single" w:sz="4" w:space="0" w:color="auto"/>
              <w:right w:val="nil"/>
            </w:tcBorders>
            <w:shd w:val="clear" w:color="auto" w:fill="auto"/>
            <w:noWrap/>
            <w:vAlign w:val="center"/>
            <w:hideMark/>
          </w:tcPr>
          <w:p w14:paraId="163164BB" w14:textId="77777777" w:rsidR="005D324B" w:rsidRPr="005D324B" w:rsidRDefault="005D324B" w:rsidP="005D324B">
            <w:pPr>
              <w:jc w:val="center"/>
              <w:rPr>
                <w:rFonts w:cs="Calibri"/>
                <w:color w:val="000000"/>
                <w:sz w:val="20"/>
              </w:rPr>
            </w:pPr>
            <w:r w:rsidRPr="005D324B">
              <w:rPr>
                <w:rFonts w:cs="Calibri"/>
                <w:color w:val="000000"/>
                <w:sz w:val="20"/>
              </w:rPr>
              <w:t>102</w:t>
            </w:r>
          </w:p>
        </w:tc>
        <w:tc>
          <w:tcPr>
            <w:tcW w:w="1000" w:type="dxa"/>
            <w:tcBorders>
              <w:top w:val="nil"/>
              <w:left w:val="nil"/>
              <w:bottom w:val="single" w:sz="4" w:space="0" w:color="auto"/>
              <w:right w:val="nil"/>
            </w:tcBorders>
            <w:shd w:val="clear" w:color="auto" w:fill="auto"/>
            <w:noWrap/>
            <w:vAlign w:val="center"/>
            <w:hideMark/>
          </w:tcPr>
          <w:p w14:paraId="7FF222AF" w14:textId="77777777" w:rsidR="005D324B" w:rsidRPr="005D324B" w:rsidRDefault="005D324B" w:rsidP="005D324B">
            <w:pPr>
              <w:jc w:val="center"/>
              <w:rPr>
                <w:rFonts w:cs="Calibri"/>
                <w:color w:val="000000"/>
                <w:sz w:val="20"/>
              </w:rPr>
            </w:pPr>
            <w:r w:rsidRPr="005D324B">
              <w:rPr>
                <w:rFonts w:cs="Calibri"/>
                <w:color w:val="000000"/>
                <w:sz w:val="20"/>
              </w:rPr>
              <w:t>101</w:t>
            </w:r>
          </w:p>
        </w:tc>
        <w:tc>
          <w:tcPr>
            <w:tcW w:w="927" w:type="dxa"/>
            <w:tcBorders>
              <w:top w:val="nil"/>
              <w:left w:val="nil"/>
              <w:bottom w:val="single" w:sz="4" w:space="0" w:color="auto"/>
              <w:right w:val="nil"/>
            </w:tcBorders>
            <w:shd w:val="clear" w:color="auto" w:fill="auto"/>
            <w:noWrap/>
            <w:vAlign w:val="bottom"/>
            <w:hideMark/>
          </w:tcPr>
          <w:p w14:paraId="0729A217" w14:textId="77777777" w:rsidR="005D324B" w:rsidRPr="005D324B" w:rsidRDefault="005D324B" w:rsidP="005D324B">
            <w:pPr>
              <w:jc w:val="center"/>
              <w:rPr>
                <w:rFonts w:cs="Calibri"/>
                <w:color w:val="000000"/>
                <w:sz w:val="20"/>
              </w:rPr>
            </w:pPr>
            <w:r w:rsidRPr="005D324B">
              <w:rPr>
                <w:rFonts w:cs="Calibri"/>
                <w:color w:val="000000"/>
                <w:sz w:val="20"/>
              </w:rPr>
              <w:t>-13</w:t>
            </w:r>
          </w:p>
        </w:tc>
        <w:tc>
          <w:tcPr>
            <w:tcW w:w="1022" w:type="dxa"/>
            <w:tcBorders>
              <w:top w:val="nil"/>
              <w:left w:val="nil"/>
              <w:bottom w:val="single" w:sz="4" w:space="0" w:color="auto"/>
              <w:right w:val="nil"/>
            </w:tcBorders>
            <w:shd w:val="clear" w:color="auto" w:fill="auto"/>
            <w:noWrap/>
            <w:vAlign w:val="bottom"/>
            <w:hideMark/>
          </w:tcPr>
          <w:p w14:paraId="633C1269" w14:textId="77777777" w:rsidR="005D324B" w:rsidRPr="005D324B" w:rsidRDefault="005D324B" w:rsidP="005D324B">
            <w:pPr>
              <w:jc w:val="center"/>
              <w:rPr>
                <w:rFonts w:cs="Calibri"/>
                <w:color w:val="000000"/>
                <w:sz w:val="20"/>
              </w:rPr>
            </w:pPr>
            <w:r w:rsidRPr="005D324B">
              <w:rPr>
                <w:rFonts w:cs="Calibri"/>
                <w:color w:val="000000"/>
                <w:sz w:val="20"/>
              </w:rPr>
              <w:t>-11%</w:t>
            </w:r>
          </w:p>
        </w:tc>
      </w:tr>
      <w:tr w:rsidR="005D324B" w:rsidRPr="005D324B" w14:paraId="274CA1BA"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8F240FF" w14:textId="77777777" w:rsidR="005D324B" w:rsidRPr="005D324B" w:rsidRDefault="005D324B" w:rsidP="005D324B">
            <w:pPr>
              <w:rPr>
                <w:rFonts w:cs="Calibri"/>
                <w:color w:val="000000"/>
                <w:sz w:val="20"/>
              </w:rPr>
            </w:pPr>
            <w:r w:rsidRPr="005D324B">
              <w:rPr>
                <w:rFonts w:cs="Calibri"/>
                <w:color w:val="000000"/>
                <w:sz w:val="20"/>
              </w:rPr>
              <w:t>Connecticut</w:t>
            </w:r>
          </w:p>
        </w:tc>
        <w:tc>
          <w:tcPr>
            <w:tcW w:w="1000" w:type="dxa"/>
            <w:tcBorders>
              <w:top w:val="nil"/>
              <w:left w:val="nil"/>
              <w:bottom w:val="single" w:sz="4" w:space="0" w:color="auto"/>
              <w:right w:val="nil"/>
            </w:tcBorders>
            <w:shd w:val="clear" w:color="auto" w:fill="auto"/>
            <w:noWrap/>
            <w:vAlign w:val="center"/>
            <w:hideMark/>
          </w:tcPr>
          <w:p w14:paraId="30B4550C" w14:textId="77777777" w:rsidR="005D324B" w:rsidRPr="005D324B" w:rsidRDefault="005D324B" w:rsidP="005D324B">
            <w:pPr>
              <w:jc w:val="center"/>
              <w:rPr>
                <w:rFonts w:cs="Calibri"/>
                <w:color w:val="000000"/>
                <w:sz w:val="20"/>
              </w:rPr>
            </w:pPr>
            <w:r w:rsidRPr="005D324B">
              <w:rPr>
                <w:rFonts w:cs="Calibri"/>
                <w:color w:val="000000"/>
                <w:sz w:val="20"/>
              </w:rPr>
              <w:t>84</w:t>
            </w:r>
          </w:p>
        </w:tc>
        <w:tc>
          <w:tcPr>
            <w:tcW w:w="1000" w:type="dxa"/>
            <w:tcBorders>
              <w:top w:val="nil"/>
              <w:left w:val="nil"/>
              <w:bottom w:val="single" w:sz="4" w:space="0" w:color="auto"/>
              <w:right w:val="nil"/>
            </w:tcBorders>
            <w:shd w:val="clear" w:color="auto" w:fill="auto"/>
            <w:noWrap/>
            <w:vAlign w:val="center"/>
            <w:hideMark/>
          </w:tcPr>
          <w:p w14:paraId="112F821B" w14:textId="77777777" w:rsidR="005D324B" w:rsidRPr="005D324B" w:rsidRDefault="005D324B" w:rsidP="005D324B">
            <w:pPr>
              <w:jc w:val="center"/>
              <w:rPr>
                <w:rFonts w:cs="Calibri"/>
                <w:color w:val="000000"/>
                <w:sz w:val="20"/>
              </w:rPr>
            </w:pPr>
            <w:r w:rsidRPr="005D324B">
              <w:rPr>
                <w:rFonts w:cs="Calibri"/>
                <w:color w:val="000000"/>
                <w:sz w:val="20"/>
              </w:rPr>
              <w:t>80</w:t>
            </w:r>
          </w:p>
        </w:tc>
        <w:tc>
          <w:tcPr>
            <w:tcW w:w="1000" w:type="dxa"/>
            <w:tcBorders>
              <w:top w:val="nil"/>
              <w:left w:val="nil"/>
              <w:bottom w:val="single" w:sz="4" w:space="0" w:color="auto"/>
              <w:right w:val="nil"/>
            </w:tcBorders>
            <w:shd w:val="clear" w:color="auto" w:fill="auto"/>
            <w:noWrap/>
            <w:vAlign w:val="center"/>
            <w:hideMark/>
          </w:tcPr>
          <w:p w14:paraId="669F09FE" w14:textId="77777777" w:rsidR="005D324B" w:rsidRPr="005D324B" w:rsidRDefault="005D324B" w:rsidP="005D324B">
            <w:pPr>
              <w:jc w:val="center"/>
              <w:rPr>
                <w:rFonts w:cs="Calibri"/>
                <w:color w:val="000000"/>
                <w:sz w:val="20"/>
              </w:rPr>
            </w:pPr>
            <w:r w:rsidRPr="005D324B">
              <w:rPr>
                <w:rFonts w:cs="Calibri"/>
                <w:color w:val="000000"/>
                <w:sz w:val="20"/>
              </w:rPr>
              <w:t>68</w:t>
            </w:r>
          </w:p>
        </w:tc>
        <w:tc>
          <w:tcPr>
            <w:tcW w:w="1000" w:type="dxa"/>
            <w:tcBorders>
              <w:top w:val="nil"/>
              <w:left w:val="nil"/>
              <w:bottom w:val="single" w:sz="4" w:space="0" w:color="auto"/>
              <w:right w:val="nil"/>
            </w:tcBorders>
            <w:shd w:val="clear" w:color="auto" w:fill="auto"/>
            <w:noWrap/>
            <w:vAlign w:val="center"/>
            <w:hideMark/>
          </w:tcPr>
          <w:p w14:paraId="7E4F3A59" w14:textId="77777777" w:rsidR="005D324B" w:rsidRPr="005D324B" w:rsidRDefault="005D324B" w:rsidP="005D324B">
            <w:pPr>
              <w:jc w:val="center"/>
              <w:rPr>
                <w:rFonts w:cs="Calibri"/>
                <w:color w:val="000000"/>
                <w:sz w:val="20"/>
              </w:rPr>
            </w:pPr>
            <w:r w:rsidRPr="005D324B">
              <w:rPr>
                <w:rFonts w:cs="Calibri"/>
                <w:color w:val="000000"/>
                <w:sz w:val="20"/>
              </w:rPr>
              <w:t>67</w:t>
            </w:r>
          </w:p>
        </w:tc>
        <w:tc>
          <w:tcPr>
            <w:tcW w:w="1000" w:type="dxa"/>
            <w:tcBorders>
              <w:top w:val="nil"/>
              <w:left w:val="nil"/>
              <w:bottom w:val="single" w:sz="4" w:space="0" w:color="auto"/>
              <w:right w:val="nil"/>
            </w:tcBorders>
            <w:shd w:val="clear" w:color="auto" w:fill="auto"/>
            <w:noWrap/>
            <w:vAlign w:val="center"/>
            <w:hideMark/>
          </w:tcPr>
          <w:p w14:paraId="407E69CF" w14:textId="77777777" w:rsidR="005D324B" w:rsidRPr="005D324B" w:rsidRDefault="005D324B" w:rsidP="005D324B">
            <w:pPr>
              <w:jc w:val="center"/>
              <w:rPr>
                <w:rFonts w:cs="Calibri"/>
                <w:color w:val="000000"/>
                <w:sz w:val="20"/>
              </w:rPr>
            </w:pPr>
            <w:r w:rsidRPr="005D324B">
              <w:rPr>
                <w:rFonts w:cs="Calibri"/>
                <w:color w:val="000000"/>
                <w:sz w:val="20"/>
              </w:rPr>
              <w:t>65</w:t>
            </w:r>
          </w:p>
        </w:tc>
        <w:tc>
          <w:tcPr>
            <w:tcW w:w="927" w:type="dxa"/>
            <w:tcBorders>
              <w:top w:val="nil"/>
              <w:left w:val="nil"/>
              <w:bottom w:val="single" w:sz="4" w:space="0" w:color="auto"/>
              <w:right w:val="nil"/>
            </w:tcBorders>
            <w:shd w:val="clear" w:color="auto" w:fill="auto"/>
            <w:noWrap/>
            <w:vAlign w:val="bottom"/>
            <w:hideMark/>
          </w:tcPr>
          <w:p w14:paraId="4CADFF3E" w14:textId="77777777" w:rsidR="005D324B" w:rsidRPr="005D324B" w:rsidRDefault="005D324B" w:rsidP="005D324B">
            <w:pPr>
              <w:jc w:val="center"/>
              <w:rPr>
                <w:rFonts w:cs="Calibri"/>
                <w:color w:val="000000"/>
                <w:sz w:val="20"/>
              </w:rPr>
            </w:pPr>
            <w:r w:rsidRPr="005D324B">
              <w:rPr>
                <w:rFonts w:cs="Calibri"/>
                <w:color w:val="000000"/>
                <w:sz w:val="20"/>
              </w:rPr>
              <w:t>-19</w:t>
            </w:r>
          </w:p>
        </w:tc>
        <w:tc>
          <w:tcPr>
            <w:tcW w:w="1022" w:type="dxa"/>
            <w:tcBorders>
              <w:top w:val="nil"/>
              <w:left w:val="nil"/>
              <w:bottom w:val="single" w:sz="4" w:space="0" w:color="auto"/>
              <w:right w:val="nil"/>
            </w:tcBorders>
            <w:shd w:val="clear" w:color="auto" w:fill="auto"/>
            <w:noWrap/>
            <w:vAlign w:val="bottom"/>
            <w:hideMark/>
          </w:tcPr>
          <w:p w14:paraId="4A25CD95" w14:textId="77777777" w:rsidR="005D324B" w:rsidRPr="005D324B" w:rsidRDefault="005D324B" w:rsidP="005D324B">
            <w:pPr>
              <w:jc w:val="center"/>
              <w:rPr>
                <w:rFonts w:cs="Calibri"/>
                <w:color w:val="000000"/>
                <w:sz w:val="20"/>
              </w:rPr>
            </w:pPr>
            <w:r w:rsidRPr="005D324B">
              <w:rPr>
                <w:rFonts w:cs="Calibri"/>
                <w:color w:val="000000"/>
                <w:sz w:val="20"/>
              </w:rPr>
              <w:t>-23%</w:t>
            </w:r>
          </w:p>
        </w:tc>
      </w:tr>
      <w:tr w:rsidR="005D324B" w:rsidRPr="005D324B" w14:paraId="323D3DF5"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1E512D2" w14:textId="77777777" w:rsidR="005D324B" w:rsidRPr="005D324B" w:rsidRDefault="005D324B" w:rsidP="005D324B">
            <w:pPr>
              <w:rPr>
                <w:rFonts w:cs="Calibri"/>
                <w:color w:val="000000"/>
                <w:sz w:val="20"/>
              </w:rPr>
            </w:pPr>
            <w:r w:rsidRPr="005D324B">
              <w:rPr>
                <w:rFonts w:cs="Calibri"/>
                <w:color w:val="000000"/>
                <w:sz w:val="20"/>
              </w:rPr>
              <w:t>DC</w:t>
            </w:r>
          </w:p>
        </w:tc>
        <w:tc>
          <w:tcPr>
            <w:tcW w:w="1000" w:type="dxa"/>
            <w:tcBorders>
              <w:top w:val="nil"/>
              <w:left w:val="nil"/>
              <w:bottom w:val="single" w:sz="4" w:space="0" w:color="auto"/>
              <w:right w:val="nil"/>
            </w:tcBorders>
            <w:shd w:val="clear" w:color="auto" w:fill="auto"/>
            <w:noWrap/>
            <w:vAlign w:val="center"/>
            <w:hideMark/>
          </w:tcPr>
          <w:p w14:paraId="0C0FC940"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1000" w:type="dxa"/>
            <w:tcBorders>
              <w:top w:val="nil"/>
              <w:left w:val="nil"/>
              <w:bottom w:val="single" w:sz="4" w:space="0" w:color="auto"/>
              <w:right w:val="nil"/>
            </w:tcBorders>
            <w:shd w:val="clear" w:color="auto" w:fill="auto"/>
            <w:noWrap/>
            <w:vAlign w:val="center"/>
            <w:hideMark/>
          </w:tcPr>
          <w:p w14:paraId="54A85040"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1000" w:type="dxa"/>
            <w:tcBorders>
              <w:top w:val="nil"/>
              <w:left w:val="nil"/>
              <w:bottom w:val="single" w:sz="4" w:space="0" w:color="auto"/>
              <w:right w:val="nil"/>
            </w:tcBorders>
            <w:shd w:val="clear" w:color="auto" w:fill="auto"/>
            <w:noWrap/>
            <w:vAlign w:val="center"/>
            <w:hideMark/>
          </w:tcPr>
          <w:p w14:paraId="581B8356"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1000" w:type="dxa"/>
            <w:tcBorders>
              <w:top w:val="nil"/>
              <w:left w:val="nil"/>
              <w:bottom w:val="single" w:sz="4" w:space="0" w:color="auto"/>
              <w:right w:val="nil"/>
            </w:tcBorders>
            <w:shd w:val="clear" w:color="auto" w:fill="auto"/>
            <w:noWrap/>
            <w:vAlign w:val="center"/>
            <w:hideMark/>
          </w:tcPr>
          <w:p w14:paraId="328A5D26"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00" w:type="dxa"/>
            <w:tcBorders>
              <w:top w:val="nil"/>
              <w:left w:val="nil"/>
              <w:bottom w:val="single" w:sz="4" w:space="0" w:color="auto"/>
              <w:right w:val="nil"/>
            </w:tcBorders>
            <w:shd w:val="clear" w:color="auto" w:fill="auto"/>
            <w:noWrap/>
            <w:vAlign w:val="center"/>
            <w:hideMark/>
          </w:tcPr>
          <w:p w14:paraId="01244BA8" w14:textId="77777777" w:rsidR="005D324B" w:rsidRPr="005D324B" w:rsidRDefault="005D324B" w:rsidP="005D324B">
            <w:pPr>
              <w:jc w:val="center"/>
              <w:rPr>
                <w:rFonts w:cs="Calibri"/>
                <w:color w:val="000000"/>
                <w:sz w:val="20"/>
              </w:rPr>
            </w:pPr>
            <w:r w:rsidRPr="005D324B">
              <w:rPr>
                <w:rFonts w:cs="Calibri"/>
                <w:color w:val="000000"/>
                <w:sz w:val="20"/>
              </w:rPr>
              <w:t>22</w:t>
            </w:r>
          </w:p>
        </w:tc>
        <w:tc>
          <w:tcPr>
            <w:tcW w:w="927" w:type="dxa"/>
            <w:tcBorders>
              <w:top w:val="nil"/>
              <w:left w:val="nil"/>
              <w:bottom w:val="single" w:sz="4" w:space="0" w:color="auto"/>
              <w:right w:val="nil"/>
            </w:tcBorders>
            <w:shd w:val="clear" w:color="auto" w:fill="auto"/>
            <w:noWrap/>
            <w:vAlign w:val="bottom"/>
            <w:hideMark/>
          </w:tcPr>
          <w:p w14:paraId="68771F21"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3CF2308C" w14:textId="77777777" w:rsidR="005D324B" w:rsidRPr="005D324B" w:rsidRDefault="005D324B" w:rsidP="005D324B">
            <w:pPr>
              <w:jc w:val="center"/>
              <w:rPr>
                <w:rFonts w:cs="Calibri"/>
                <w:color w:val="000000"/>
                <w:sz w:val="20"/>
              </w:rPr>
            </w:pPr>
            <w:r w:rsidRPr="005D324B">
              <w:rPr>
                <w:rFonts w:cs="Calibri"/>
                <w:color w:val="000000"/>
                <w:sz w:val="20"/>
              </w:rPr>
              <w:t>-15%</w:t>
            </w:r>
          </w:p>
        </w:tc>
      </w:tr>
      <w:tr w:rsidR="005D324B" w:rsidRPr="005D324B" w14:paraId="023FB23F"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27EA456" w14:textId="77777777" w:rsidR="005D324B" w:rsidRPr="005D324B" w:rsidRDefault="005D324B" w:rsidP="005D324B">
            <w:pPr>
              <w:rPr>
                <w:rFonts w:cs="Calibri"/>
                <w:color w:val="000000"/>
                <w:sz w:val="20"/>
              </w:rPr>
            </w:pPr>
            <w:r w:rsidRPr="005D324B">
              <w:rPr>
                <w:rFonts w:cs="Calibri"/>
                <w:color w:val="000000"/>
                <w:sz w:val="20"/>
              </w:rPr>
              <w:t>Delaware</w:t>
            </w:r>
          </w:p>
        </w:tc>
        <w:tc>
          <w:tcPr>
            <w:tcW w:w="1000" w:type="dxa"/>
            <w:tcBorders>
              <w:top w:val="nil"/>
              <w:left w:val="nil"/>
              <w:bottom w:val="single" w:sz="4" w:space="0" w:color="auto"/>
              <w:right w:val="nil"/>
            </w:tcBorders>
            <w:shd w:val="clear" w:color="auto" w:fill="auto"/>
            <w:noWrap/>
            <w:vAlign w:val="center"/>
            <w:hideMark/>
          </w:tcPr>
          <w:p w14:paraId="7F736A41"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00" w:type="dxa"/>
            <w:tcBorders>
              <w:top w:val="nil"/>
              <w:left w:val="nil"/>
              <w:bottom w:val="single" w:sz="4" w:space="0" w:color="auto"/>
              <w:right w:val="nil"/>
            </w:tcBorders>
            <w:shd w:val="clear" w:color="auto" w:fill="auto"/>
            <w:noWrap/>
            <w:vAlign w:val="center"/>
            <w:hideMark/>
          </w:tcPr>
          <w:p w14:paraId="09C038ED" w14:textId="77777777" w:rsidR="005D324B" w:rsidRPr="005D324B" w:rsidRDefault="005D324B" w:rsidP="005D324B">
            <w:pPr>
              <w:jc w:val="center"/>
              <w:rPr>
                <w:rFonts w:cs="Calibri"/>
                <w:color w:val="000000"/>
                <w:sz w:val="20"/>
              </w:rPr>
            </w:pPr>
            <w:r w:rsidRPr="005D324B">
              <w:rPr>
                <w:rFonts w:cs="Calibri"/>
                <w:color w:val="000000"/>
                <w:sz w:val="20"/>
              </w:rPr>
              <w:t>21</w:t>
            </w:r>
          </w:p>
        </w:tc>
        <w:tc>
          <w:tcPr>
            <w:tcW w:w="1000" w:type="dxa"/>
            <w:tcBorders>
              <w:top w:val="nil"/>
              <w:left w:val="nil"/>
              <w:bottom w:val="single" w:sz="4" w:space="0" w:color="auto"/>
              <w:right w:val="nil"/>
            </w:tcBorders>
            <w:shd w:val="clear" w:color="auto" w:fill="auto"/>
            <w:noWrap/>
            <w:vAlign w:val="center"/>
            <w:hideMark/>
          </w:tcPr>
          <w:p w14:paraId="2E549292"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7D87C6E6" w14:textId="77777777" w:rsidR="005D324B" w:rsidRPr="005D324B" w:rsidRDefault="005D324B" w:rsidP="005D324B">
            <w:pPr>
              <w:jc w:val="center"/>
              <w:rPr>
                <w:rFonts w:cs="Calibri"/>
                <w:color w:val="000000"/>
                <w:sz w:val="20"/>
              </w:rPr>
            </w:pPr>
            <w:r w:rsidRPr="005D324B">
              <w:rPr>
                <w:rFonts w:cs="Calibri"/>
                <w:color w:val="000000"/>
                <w:sz w:val="20"/>
              </w:rPr>
              <w:t>21</w:t>
            </w:r>
          </w:p>
        </w:tc>
        <w:tc>
          <w:tcPr>
            <w:tcW w:w="1000" w:type="dxa"/>
            <w:tcBorders>
              <w:top w:val="nil"/>
              <w:left w:val="nil"/>
              <w:bottom w:val="single" w:sz="4" w:space="0" w:color="auto"/>
              <w:right w:val="nil"/>
            </w:tcBorders>
            <w:shd w:val="clear" w:color="auto" w:fill="auto"/>
            <w:noWrap/>
            <w:vAlign w:val="center"/>
            <w:hideMark/>
          </w:tcPr>
          <w:p w14:paraId="5CE659EB" w14:textId="77777777" w:rsidR="005D324B" w:rsidRPr="005D324B" w:rsidRDefault="005D324B" w:rsidP="005D324B">
            <w:pPr>
              <w:jc w:val="center"/>
              <w:rPr>
                <w:rFonts w:cs="Calibri"/>
                <w:color w:val="000000"/>
                <w:sz w:val="20"/>
              </w:rPr>
            </w:pPr>
            <w:r w:rsidRPr="005D324B">
              <w:rPr>
                <w:rFonts w:cs="Calibri"/>
                <w:color w:val="000000"/>
                <w:sz w:val="20"/>
              </w:rPr>
              <w:t>21</w:t>
            </w:r>
          </w:p>
        </w:tc>
        <w:tc>
          <w:tcPr>
            <w:tcW w:w="927" w:type="dxa"/>
            <w:tcBorders>
              <w:top w:val="nil"/>
              <w:left w:val="nil"/>
              <w:bottom w:val="single" w:sz="4" w:space="0" w:color="auto"/>
              <w:right w:val="nil"/>
            </w:tcBorders>
            <w:shd w:val="clear" w:color="auto" w:fill="auto"/>
            <w:noWrap/>
            <w:vAlign w:val="bottom"/>
            <w:hideMark/>
          </w:tcPr>
          <w:p w14:paraId="0C1469A9"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06263158" w14:textId="77777777" w:rsidR="005D324B" w:rsidRPr="005D324B" w:rsidRDefault="005D324B" w:rsidP="005D324B">
            <w:pPr>
              <w:jc w:val="center"/>
              <w:rPr>
                <w:rFonts w:cs="Calibri"/>
                <w:color w:val="000000"/>
                <w:sz w:val="20"/>
              </w:rPr>
            </w:pPr>
            <w:r w:rsidRPr="005D324B">
              <w:rPr>
                <w:rFonts w:cs="Calibri"/>
                <w:color w:val="000000"/>
                <w:sz w:val="20"/>
              </w:rPr>
              <w:t>-16%</w:t>
            </w:r>
          </w:p>
        </w:tc>
      </w:tr>
      <w:tr w:rsidR="005D324B" w:rsidRPr="005D324B" w14:paraId="5ADEC72B"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0A5D3FB" w14:textId="77777777" w:rsidR="005D324B" w:rsidRPr="005D324B" w:rsidRDefault="005D324B" w:rsidP="005D324B">
            <w:pPr>
              <w:rPr>
                <w:rFonts w:cs="Calibri"/>
                <w:color w:val="000000"/>
                <w:sz w:val="20"/>
              </w:rPr>
            </w:pPr>
            <w:r w:rsidRPr="005D324B">
              <w:rPr>
                <w:rFonts w:cs="Calibri"/>
                <w:color w:val="000000"/>
                <w:sz w:val="20"/>
              </w:rPr>
              <w:t>Florida</w:t>
            </w:r>
          </w:p>
        </w:tc>
        <w:tc>
          <w:tcPr>
            <w:tcW w:w="1000" w:type="dxa"/>
            <w:tcBorders>
              <w:top w:val="nil"/>
              <w:left w:val="nil"/>
              <w:bottom w:val="single" w:sz="4" w:space="0" w:color="auto"/>
              <w:right w:val="nil"/>
            </w:tcBorders>
            <w:shd w:val="clear" w:color="auto" w:fill="auto"/>
            <w:noWrap/>
            <w:vAlign w:val="center"/>
            <w:hideMark/>
          </w:tcPr>
          <w:p w14:paraId="54C22DC2" w14:textId="77777777" w:rsidR="005D324B" w:rsidRPr="005D324B" w:rsidRDefault="005D324B" w:rsidP="005D324B">
            <w:pPr>
              <w:jc w:val="center"/>
              <w:rPr>
                <w:rFonts w:cs="Calibri"/>
                <w:color w:val="000000"/>
                <w:sz w:val="20"/>
              </w:rPr>
            </w:pPr>
            <w:r w:rsidRPr="005D324B">
              <w:rPr>
                <w:rFonts w:cs="Calibri"/>
                <w:color w:val="000000"/>
                <w:sz w:val="20"/>
              </w:rPr>
              <w:t>815</w:t>
            </w:r>
          </w:p>
        </w:tc>
        <w:tc>
          <w:tcPr>
            <w:tcW w:w="1000" w:type="dxa"/>
            <w:tcBorders>
              <w:top w:val="nil"/>
              <w:left w:val="nil"/>
              <w:bottom w:val="single" w:sz="4" w:space="0" w:color="auto"/>
              <w:right w:val="nil"/>
            </w:tcBorders>
            <w:shd w:val="clear" w:color="auto" w:fill="auto"/>
            <w:noWrap/>
            <w:vAlign w:val="center"/>
            <w:hideMark/>
          </w:tcPr>
          <w:p w14:paraId="386259B2" w14:textId="77777777" w:rsidR="005D324B" w:rsidRPr="005D324B" w:rsidRDefault="005D324B" w:rsidP="005D324B">
            <w:pPr>
              <w:jc w:val="center"/>
              <w:rPr>
                <w:rFonts w:cs="Calibri"/>
                <w:color w:val="000000"/>
                <w:sz w:val="20"/>
              </w:rPr>
            </w:pPr>
            <w:r w:rsidRPr="005D324B">
              <w:rPr>
                <w:rFonts w:cs="Calibri"/>
                <w:color w:val="000000"/>
                <w:sz w:val="20"/>
              </w:rPr>
              <w:t>800</w:t>
            </w:r>
          </w:p>
        </w:tc>
        <w:tc>
          <w:tcPr>
            <w:tcW w:w="1000" w:type="dxa"/>
            <w:tcBorders>
              <w:top w:val="nil"/>
              <w:left w:val="nil"/>
              <w:bottom w:val="single" w:sz="4" w:space="0" w:color="auto"/>
              <w:right w:val="nil"/>
            </w:tcBorders>
            <w:shd w:val="clear" w:color="auto" w:fill="auto"/>
            <w:noWrap/>
            <w:vAlign w:val="center"/>
            <w:hideMark/>
          </w:tcPr>
          <w:p w14:paraId="3017E2EC" w14:textId="77777777" w:rsidR="005D324B" w:rsidRPr="005D324B" w:rsidRDefault="005D324B" w:rsidP="005D324B">
            <w:pPr>
              <w:jc w:val="center"/>
              <w:rPr>
                <w:rFonts w:cs="Calibri"/>
                <w:color w:val="000000"/>
                <w:sz w:val="20"/>
              </w:rPr>
            </w:pPr>
            <w:r w:rsidRPr="005D324B">
              <w:rPr>
                <w:rFonts w:cs="Calibri"/>
                <w:color w:val="000000"/>
                <w:sz w:val="20"/>
              </w:rPr>
              <w:t>812</w:t>
            </w:r>
          </w:p>
        </w:tc>
        <w:tc>
          <w:tcPr>
            <w:tcW w:w="1000" w:type="dxa"/>
            <w:tcBorders>
              <w:top w:val="nil"/>
              <w:left w:val="nil"/>
              <w:bottom w:val="single" w:sz="4" w:space="0" w:color="auto"/>
              <w:right w:val="nil"/>
            </w:tcBorders>
            <w:shd w:val="clear" w:color="auto" w:fill="auto"/>
            <w:noWrap/>
            <w:vAlign w:val="center"/>
            <w:hideMark/>
          </w:tcPr>
          <w:p w14:paraId="1F6948BC" w14:textId="77777777" w:rsidR="005D324B" w:rsidRPr="005D324B" w:rsidRDefault="005D324B" w:rsidP="005D324B">
            <w:pPr>
              <w:jc w:val="center"/>
              <w:rPr>
                <w:rFonts w:cs="Calibri"/>
                <w:color w:val="000000"/>
                <w:sz w:val="20"/>
              </w:rPr>
            </w:pPr>
            <w:r w:rsidRPr="005D324B">
              <w:rPr>
                <w:rFonts w:cs="Calibri"/>
                <w:color w:val="000000"/>
                <w:sz w:val="20"/>
              </w:rPr>
              <w:t>781</w:t>
            </w:r>
          </w:p>
        </w:tc>
        <w:tc>
          <w:tcPr>
            <w:tcW w:w="1000" w:type="dxa"/>
            <w:tcBorders>
              <w:top w:val="nil"/>
              <w:left w:val="nil"/>
              <w:bottom w:val="single" w:sz="4" w:space="0" w:color="auto"/>
              <w:right w:val="nil"/>
            </w:tcBorders>
            <w:shd w:val="clear" w:color="auto" w:fill="auto"/>
            <w:noWrap/>
            <w:vAlign w:val="center"/>
            <w:hideMark/>
          </w:tcPr>
          <w:p w14:paraId="25181556" w14:textId="77777777" w:rsidR="005D324B" w:rsidRPr="005D324B" w:rsidRDefault="005D324B" w:rsidP="005D324B">
            <w:pPr>
              <w:jc w:val="center"/>
              <w:rPr>
                <w:rFonts w:cs="Calibri"/>
                <w:color w:val="000000"/>
                <w:sz w:val="20"/>
              </w:rPr>
            </w:pPr>
            <w:r w:rsidRPr="005D324B">
              <w:rPr>
                <w:rFonts w:cs="Calibri"/>
                <w:color w:val="000000"/>
                <w:sz w:val="20"/>
              </w:rPr>
              <w:t>742</w:t>
            </w:r>
          </w:p>
        </w:tc>
        <w:tc>
          <w:tcPr>
            <w:tcW w:w="927" w:type="dxa"/>
            <w:tcBorders>
              <w:top w:val="nil"/>
              <w:left w:val="nil"/>
              <w:bottom w:val="single" w:sz="4" w:space="0" w:color="auto"/>
              <w:right w:val="nil"/>
            </w:tcBorders>
            <w:shd w:val="clear" w:color="auto" w:fill="auto"/>
            <w:noWrap/>
            <w:vAlign w:val="bottom"/>
            <w:hideMark/>
          </w:tcPr>
          <w:p w14:paraId="27F75132" w14:textId="77777777" w:rsidR="005D324B" w:rsidRPr="005D324B" w:rsidRDefault="005D324B" w:rsidP="005D324B">
            <w:pPr>
              <w:jc w:val="center"/>
              <w:rPr>
                <w:rFonts w:cs="Calibri"/>
                <w:color w:val="000000"/>
                <w:sz w:val="20"/>
              </w:rPr>
            </w:pPr>
            <w:r w:rsidRPr="005D324B">
              <w:rPr>
                <w:rFonts w:cs="Calibri"/>
                <w:color w:val="000000"/>
                <w:sz w:val="20"/>
              </w:rPr>
              <w:t>-73</w:t>
            </w:r>
          </w:p>
        </w:tc>
        <w:tc>
          <w:tcPr>
            <w:tcW w:w="1022" w:type="dxa"/>
            <w:tcBorders>
              <w:top w:val="nil"/>
              <w:left w:val="nil"/>
              <w:bottom w:val="single" w:sz="4" w:space="0" w:color="auto"/>
              <w:right w:val="nil"/>
            </w:tcBorders>
            <w:shd w:val="clear" w:color="auto" w:fill="auto"/>
            <w:noWrap/>
            <w:vAlign w:val="bottom"/>
            <w:hideMark/>
          </w:tcPr>
          <w:p w14:paraId="55F2B38B" w14:textId="77777777" w:rsidR="005D324B" w:rsidRPr="005D324B" w:rsidRDefault="005D324B" w:rsidP="005D324B">
            <w:pPr>
              <w:jc w:val="center"/>
              <w:rPr>
                <w:rFonts w:cs="Calibri"/>
                <w:color w:val="000000"/>
                <w:sz w:val="20"/>
              </w:rPr>
            </w:pPr>
            <w:r w:rsidRPr="005D324B">
              <w:rPr>
                <w:rFonts w:cs="Calibri"/>
                <w:color w:val="000000"/>
                <w:sz w:val="20"/>
              </w:rPr>
              <w:t>-9%</w:t>
            </w:r>
          </w:p>
        </w:tc>
      </w:tr>
      <w:tr w:rsidR="005D324B" w:rsidRPr="005D324B" w14:paraId="7E5872B4"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F8B9723" w14:textId="77777777" w:rsidR="005D324B" w:rsidRPr="005D324B" w:rsidRDefault="005D324B" w:rsidP="005D324B">
            <w:pPr>
              <w:rPr>
                <w:rFonts w:cs="Calibri"/>
                <w:color w:val="000000"/>
                <w:sz w:val="20"/>
              </w:rPr>
            </w:pPr>
            <w:r w:rsidRPr="005D324B">
              <w:rPr>
                <w:rFonts w:cs="Calibri"/>
                <w:color w:val="000000"/>
                <w:sz w:val="20"/>
              </w:rPr>
              <w:t>Georgia</w:t>
            </w:r>
          </w:p>
        </w:tc>
        <w:tc>
          <w:tcPr>
            <w:tcW w:w="1000" w:type="dxa"/>
            <w:tcBorders>
              <w:top w:val="nil"/>
              <w:left w:val="nil"/>
              <w:bottom w:val="single" w:sz="4" w:space="0" w:color="auto"/>
              <w:right w:val="nil"/>
            </w:tcBorders>
            <w:shd w:val="clear" w:color="auto" w:fill="auto"/>
            <w:noWrap/>
            <w:vAlign w:val="center"/>
            <w:hideMark/>
          </w:tcPr>
          <w:p w14:paraId="1931DD61" w14:textId="77777777" w:rsidR="005D324B" w:rsidRPr="005D324B" w:rsidRDefault="005D324B" w:rsidP="005D324B">
            <w:pPr>
              <w:jc w:val="center"/>
              <w:rPr>
                <w:rFonts w:cs="Calibri"/>
                <w:color w:val="000000"/>
                <w:sz w:val="20"/>
              </w:rPr>
            </w:pPr>
            <w:r w:rsidRPr="005D324B">
              <w:rPr>
                <w:rFonts w:cs="Calibri"/>
                <w:color w:val="000000"/>
                <w:sz w:val="20"/>
              </w:rPr>
              <w:t>109</w:t>
            </w:r>
          </w:p>
        </w:tc>
        <w:tc>
          <w:tcPr>
            <w:tcW w:w="1000" w:type="dxa"/>
            <w:tcBorders>
              <w:top w:val="nil"/>
              <w:left w:val="nil"/>
              <w:bottom w:val="single" w:sz="4" w:space="0" w:color="auto"/>
              <w:right w:val="nil"/>
            </w:tcBorders>
            <w:shd w:val="clear" w:color="auto" w:fill="auto"/>
            <w:noWrap/>
            <w:vAlign w:val="center"/>
            <w:hideMark/>
          </w:tcPr>
          <w:p w14:paraId="2906868A" w14:textId="77777777" w:rsidR="005D324B" w:rsidRPr="005D324B" w:rsidRDefault="005D324B" w:rsidP="005D324B">
            <w:pPr>
              <w:jc w:val="center"/>
              <w:rPr>
                <w:rFonts w:cs="Calibri"/>
                <w:color w:val="000000"/>
                <w:sz w:val="20"/>
              </w:rPr>
            </w:pPr>
            <w:r w:rsidRPr="005D324B">
              <w:rPr>
                <w:rFonts w:cs="Calibri"/>
                <w:color w:val="000000"/>
                <w:sz w:val="20"/>
              </w:rPr>
              <w:t>111</w:t>
            </w:r>
          </w:p>
        </w:tc>
        <w:tc>
          <w:tcPr>
            <w:tcW w:w="1000" w:type="dxa"/>
            <w:tcBorders>
              <w:top w:val="nil"/>
              <w:left w:val="nil"/>
              <w:bottom w:val="single" w:sz="4" w:space="0" w:color="auto"/>
              <w:right w:val="nil"/>
            </w:tcBorders>
            <w:shd w:val="clear" w:color="auto" w:fill="auto"/>
            <w:noWrap/>
            <w:vAlign w:val="center"/>
            <w:hideMark/>
          </w:tcPr>
          <w:p w14:paraId="7A642DBA" w14:textId="77777777" w:rsidR="005D324B" w:rsidRPr="005D324B" w:rsidRDefault="005D324B" w:rsidP="005D324B">
            <w:pPr>
              <w:jc w:val="center"/>
              <w:rPr>
                <w:rFonts w:cs="Calibri"/>
                <w:color w:val="000000"/>
                <w:sz w:val="20"/>
              </w:rPr>
            </w:pPr>
            <w:r w:rsidRPr="005D324B">
              <w:rPr>
                <w:rFonts w:cs="Calibri"/>
                <w:color w:val="000000"/>
                <w:sz w:val="20"/>
              </w:rPr>
              <w:t>112</w:t>
            </w:r>
          </w:p>
        </w:tc>
        <w:tc>
          <w:tcPr>
            <w:tcW w:w="1000" w:type="dxa"/>
            <w:tcBorders>
              <w:top w:val="nil"/>
              <w:left w:val="nil"/>
              <w:bottom w:val="single" w:sz="4" w:space="0" w:color="auto"/>
              <w:right w:val="nil"/>
            </w:tcBorders>
            <w:shd w:val="clear" w:color="auto" w:fill="auto"/>
            <w:noWrap/>
            <w:vAlign w:val="center"/>
            <w:hideMark/>
          </w:tcPr>
          <w:p w14:paraId="703B315A" w14:textId="77777777" w:rsidR="005D324B" w:rsidRPr="005D324B" w:rsidRDefault="005D324B" w:rsidP="005D324B">
            <w:pPr>
              <w:jc w:val="center"/>
              <w:rPr>
                <w:rFonts w:cs="Calibri"/>
                <w:color w:val="000000"/>
                <w:sz w:val="20"/>
              </w:rPr>
            </w:pPr>
            <w:r w:rsidRPr="005D324B">
              <w:rPr>
                <w:rFonts w:cs="Calibri"/>
                <w:color w:val="000000"/>
                <w:sz w:val="20"/>
              </w:rPr>
              <w:t>105</w:t>
            </w:r>
          </w:p>
        </w:tc>
        <w:tc>
          <w:tcPr>
            <w:tcW w:w="1000" w:type="dxa"/>
            <w:tcBorders>
              <w:top w:val="nil"/>
              <w:left w:val="nil"/>
              <w:bottom w:val="single" w:sz="4" w:space="0" w:color="auto"/>
              <w:right w:val="nil"/>
            </w:tcBorders>
            <w:shd w:val="clear" w:color="auto" w:fill="auto"/>
            <w:noWrap/>
            <w:vAlign w:val="center"/>
            <w:hideMark/>
          </w:tcPr>
          <w:p w14:paraId="29E14268" w14:textId="77777777" w:rsidR="005D324B" w:rsidRPr="005D324B" w:rsidRDefault="005D324B" w:rsidP="005D324B">
            <w:pPr>
              <w:jc w:val="center"/>
              <w:rPr>
                <w:rFonts w:cs="Calibri"/>
                <w:color w:val="000000"/>
                <w:sz w:val="20"/>
              </w:rPr>
            </w:pPr>
            <w:r w:rsidRPr="005D324B">
              <w:rPr>
                <w:rFonts w:cs="Calibri"/>
                <w:color w:val="000000"/>
                <w:sz w:val="20"/>
              </w:rPr>
              <w:t>106</w:t>
            </w:r>
          </w:p>
        </w:tc>
        <w:tc>
          <w:tcPr>
            <w:tcW w:w="927" w:type="dxa"/>
            <w:tcBorders>
              <w:top w:val="nil"/>
              <w:left w:val="nil"/>
              <w:bottom w:val="single" w:sz="4" w:space="0" w:color="auto"/>
              <w:right w:val="nil"/>
            </w:tcBorders>
            <w:shd w:val="clear" w:color="auto" w:fill="auto"/>
            <w:noWrap/>
            <w:vAlign w:val="bottom"/>
            <w:hideMark/>
          </w:tcPr>
          <w:p w14:paraId="41BD5B3C"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1861E344" w14:textId="77777777" w:rsidR="005D324B" w:rsidRPr="005D324B" w:rsidRDefault="005D324B" w:rsidP="005D324B">
            <w:pPr>
              <w:jc w:val="center"/>
              <w:rPr>
                <w:rFonts w:cs="Calibri"/>
                <w:color w:val="000000"/>
                <w:sz w:val="20"/>
              </w:rPr>
            </w:pPr>
            <w:r w:rsidRPr="005D324B">
              <w:rPr>
                <w:rFonts w:cs="Calibri"/>
                <w:color w:val="000000"/>
                <w:sz w:val="20"/>
              </w:rPr>
              <w:t>-3%</w:t>
            </w:r>
          </w:p>
        </w:tc>
      </w:tr>
      <w:tr w:rsidR="005D324B" w:rsidRPr="005D324B" w14:paraId="6D457D3A"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2355CC7" w14:textId="77777777" w:rsidR="005D324B" w:rsidRPr="005D324B" w:rsidRDefault="005D324B" w:rsidP="005D324B">
            <w:pPr>
              <w:rPr>
                <w:rFonts w:cs="Calibri"/>
                <w:color w:val="000000"/>
                <w:sz w:val="20"/>
              </w:rPr>
            </w:pPr>
            <w:r w:rsidRPr="005D324B">
              <w:rPr>
                <w:rFonts w:cs="Calibri"/>
                <w:color w:val="000000"/>
                <w:sz w:val="20"/>
              </w:rPr>
              <w:t>Hawaii</w:t>
            </w:r>
          </w:p>
        </w:tc>
        <w:tc>
          <w:tcPr>
            <w:tcW w:w="1000" w:type="dxa"/>
            <w:tcBorders>
              <w:top w:val="nil"/>
              <w:left w:val="nil"/>
              <w:bottom w:val="single" w:sz="4" w:space="0" w:color="auto"/>
              <w:right w:val="nil"/>
            </w:tcBorders>
            <w:shd w:val="clear" w:color="auto" w:fill="auto"/>
            <w:noWrap/>
            <w:vAlign w:val="center"/>
            <w:hideMark/>
          </w:tcPr>
          <w:p w14:paraId="7434FBA8"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2FA7532B" w14:textId="77777777" w:rsidR="005D324B" w:rsidRPr="005D324B" w:rsidRDefault="005D324B" w:rsidP="005D324B">
            <w:pPr>
              <w:jc w:val="center"/>
              <w:rPr>
                <w:rFonts w:cs="Calibri"/>
                <w:color w:val="000000"/>
                <w:sz w:val="20"/>
              </w:rPr>
            </w:pPr>
            <w:r w:rsidRPr="005D324B">
              <w:rPr>
                <w:rFonts w:cs="Calibri"/>
                <w:color w:val="000000"/>
                <w:sz w:val="20"/>
              </w:rPr>
              <w:t>12</w:t>
            </w:r>
          </w:p>
        </w:tc>
        <w:tc>
          <w:tcPr>
            <w:tcW w:w="1000" w:type="dxa"/>
            <w:tcBorders>
              <w:top w:val="nil"/>
              <w:left w:val="nil"/>
              <w:bottom w:val="single" w:sz="4" w:space="0" w:color="auto"/>
              <w:right w:val="nil"/>
            </w:tcBorders>
            <w:shd w:val="clear" w:color="auto" w:fill="auto"/>
            <w:noWrap/>
            <w:vAlign w:val="center"/>
            <w:hideMark/>
          </w:tcPr>
          <w:p w14:paraId="412E6B44" w14:textId="77777777" w:rsidR="005D324B" w:rsidRPr="005D324B" w:rsidRDefault="005D324B" w:rsidP="005D324B">
            <w:pPr>
              <w:jc w:val="center"/>
              <w:rPr>
                <w:rFonts w:cs="Calibri"/>
                <w:color w:val="000000"/>
                <w:sz w:val="20"/>
              </w:rPr>
            </w:pPr>
            <w:r w:rsidRPr="005D324B">
              <w:rPr>
                <w:rFonts w:cs="Calibri"/>
                <w:color w:val="000000"/>
                <w:sz w:val="20"/>
              </w:rPr>
              <w:t>13</w:t>
            </w:r>
          </w:p>
        </w:tc>
        <w:tc>
          <w:tcPr>
            <w:tcW w:w="1000" w:type="dxa"/>
            <w:tcBorders>
              <w:top w:val="nil"/>
              <w:left w:val="nil"/>
              <w:bottom w:val="single" w:sz="4" w:space="0" w:color="auto"/>
              <w:right w:val="nil"/>
            </w:tcBorders>
            <w:shd w:val="clear" w:color="auto" w:fill="auto"/>
            <w:noWrap/>
            <w:vAlign w:val="center"/>
            <w:hideMark/>
          </w:tcPr>
          <w:p w14:paraId="2CD5F6F5" w14:textId="77777777" w:rsidR="005D324B" w:rsidRPr="005D324B" w:rsidRDefault="005D324B" w:rsidP="005D324B">
            <w:pPr>
              <w:jc w:val="center"/>
              <w:rPr>
                <w:rFonts w:cs="Calibri"/>
                <w:color w:val="000000"/>
                <w:sz w:val="20"/>
              </w:rPr>
            </w:pPr>
            <w:r w:rsidRPr="005D324B">
              <w:rPr>
                <w:rFonts w:cs="Calibri"/>
                <w:color w:val="000000"/>
                <w:sz w:val="20"/>
              </w:rPr>
              <w:t>12</w:t>
            </w:r>
          </w:p>
        </w:tc>
        <w:tc>
          <w:tcPr>
            <w:tcW w:w="1000" w:type="dxa"/>
            <w:tcBorders>
              <w:top w:val="nil"/>
              <w:left w:val="nil"/>
              <w:bottom w:val="single" w:sz="4" w:space="0" w:color="auto"/>
              <w:right w:val="nil"/>
            </w:tcBorders>
            <w:shd w:val="clear" w:color="auto" w:fill="auto"/>
            <w:noWrap/>
            <w:vAlign w:val="center"/>
            <w:hideMark/>
          </w:tcPr>
          <w:p w14:paraId="276FD405" w14:textId="77777777" w:rsidR="005D324B" w:rsidRPr="005D324B" w:rsidRDefault="005D324B" w:rsidP="005D324B">
            <w:pPr>
              <w:jc w:val="center"/>
              <w:rPr>
                <w:rFonts w:cs="Calibri"/>
                <w:color w:val="000000"/>
                <w:sz w:val="20"/>
              </w:rPr>
            </w:pPr>
            <w:r w:rsidRPr="005D324B">
              <w:rPr>
                <w:rFonts w:cs="Calibri"/>
                <w:color w:val="000000"/>
                <w:sz w:val="20"/>
              </w:rPr>
              <w:t>10</w:t>
            </w:r>
          </w:p>
        </w:tc>
        <w:tc>
          <w:tcPr>
            <w:tcW w:w="927" w:type="dxa"/>
            <w:tcBorders>
              <w:top w:val="nil"/>
              <w:left w:val="nil"/>
              <w:bottom w:val="single" w:sz="4" w:space="0" w:color="auto"/>
              <w:right w:val="nil"/>
            </w:tcBorders>
            <w:shd w:val="clear" w:color="auto" w:fill="auto"/>
            <w:noWrap/>
            <w:vAlign w:val="bottom"/>
            <w:hideMark/>
          </w:tcPr>
          <w:p w14:paraId="08259471"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24BC779D" w14:textId="77777777" w:rsidR="005D324B" w:rsidRPr="005D324B" w:rsidRDefault="005D324B" w:rsidP="005D324B">
            <w:pPr>
              <w:jc w:val="center"/>
              <w:rPr>
                <w:rFonts w:cs="Calibri"/>
                <w:color w:val="000000"/>
                <w:sz w:val="20"/>
              </w:rPr>
            </w:pPr>
            <w:r w:rsidRPr="005D324B">
              <w:rPr>
                <w:rFonts w:cs="Calibri"/>
                <w:color w:val="000000"/>
                <w:sz w:val="20"/>
              </w:rPr>
              <w:t>-29%</w:t>
            </w:r>
          </w:p>
        </w:tc>
      </w:tr>
      <w:tr w:rsidR="005D324B" w:rsidRPr="005D324B" w14:paraId="4C10B5D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1DE206F2" w14:textId="77777777" w:rsidR="005D324B" w:rsidRPr="005D324B" w:rsidRDefault="005D324B" w:rsidP="005D324B">
            <w:pPr>
              <w:rPr>
                <w:rFonts w:cs="Calibri"/>
                <w:color w:val="000000"/>
                <w:sz w:val="20"/>
              </w:rPr>
            </w:pPr>
            <w:r w:rsidRPr="005D324B">
              <w:rPr>
                <w:rFonts w:cs="Calibri"/>
                <w:color w:val="000000"/>
                <w:sz w:val="20"/>
              </w:rPr>
              <w:t>Idaho</w:t>
            </w:r>
          </w:p>
        </w:tc>
        <w:tc>
          <w:tcPr>
            <w:tcW w:w="1000" w:type="dxa"/>
            <w:tcBorders>
              <w:top w:val="nil"/>
              <w:left w:val="nil"/>
              <w:bottom w:val="single" w:sz="4" w:space="0" w:color="auto"/>
              <w:right w:val="nil"/>
            </w:tcBorders>
            <w:shd w:val="clear" w:color="auto" w:fill="auto"/>
            <w:noWrap/>
            <w:vAlign w:val="center"/>
            <w:hideMark/>
          </w:tcPr>
          <w:p w14:paraId="0331228C" w14:textId="77777777" w:rsidR="005D324B" w:rsidRPr="005D324B" w:rsidRDefault="005D324B" w:rsidP="005D324B">
            <w:pPr>
              <w:jc w:val="center"/>
              <w:rPr>
                <w:rFonts w:cs="Calibri"/>
                <w:color w:val="000000"/>
                <w:sz w:val="20"/>
              </w:rPr>
            </w:pPr>
            <w:r w:rsidRPr="005D324B">
              <w:rPr>
                <w:rFonts w:cs="Calibri"/>
                <w:color w:val="000000"/>
                <w:sz w:val="20"/>
              </w:rPr>
              <w:t>53</w:t>
            </w:r>
          </w:p>
        </w:tc>
        <w:tc>
          <w:tcPr>
            <w:tcW w:w="1000" w:type="dxa"/>
            <w:tcBorders>
              <w:top w:val="nil"/>
              <w:left w:val="nil"/>
              <w:bottom w:val="single" w:sz="4" w:space="0" w:color="auto"/>
              <w:right w:val="nil"/>
            </w:tcBorders>
            <w:shd w:val="clear" w:color="auto" w:fill="auto"/>
            <w:noWrap/>
            <w:vAlign w:val="center"/>
            <w:hideMark/>
          </w:tcPr>
          <w:p w14:paraId="0F0703EB" w14:textId="77777777" w:rsidR="005D324B" w:rsidRPr="005D324B" w:rsidRDefault="005D324B" w:rsidP="005D324B">
            <w:pPr>
              <w:jc w:val="center"/>
              <w:rPr>
                <w:rFonts w:cs="Calibri"/>
                <w:color w:val="000000"/>
                <w:sz w:val="20"/>
              </w:rPr>
            </w:pPr>
            <w:r w:rsidRPr="005D324B">
              <w:rPr>
                <w:rFonts w:cs="Calibri"/>
                <w:color w:val="000000"/>
                <w:sz w:val="20"/>
              </w:rPr>
              <w:t>53</w:t>
            </w:r>
          </w:p>
        </w:tc>
        <w:tc>
          <w:tcPr>
            <w:tcW w:w="1000" w:type="dxa"/>
            <w:tcBorders>
              <w:top w:val="nil"/>
              <w:left w:val="nil"/>
              <w:bottom w:val="single" w:sz="4" w:space="0" w:color="auto"/>
              <w:right w:val="nil"/>
            </w:tcBorders>
            <w:shd w:val="clear" w:color="auto" w:fill="auto"/>
            <w:noWrap/>
            <w:vAlign w:val="center"/>
            <w:hideMark/>
          </w:tcPr>
          <w:p w14:paraId="1B2E048D" w14:textId="77777777" w:rsidR="005D324B" w:rsidRPr="005D324B" w:rsidRDefault="005D324B" w:rsidP="005D324B">
            <w:pPr>
              <w:jc w:val="center"/>
              <w:rPr>
                <w:rFonts w:cs="Calibri"/>
                <w:color w:val="000000"/>
                <w:sz w:val="20"/>
              </w:rPr>
            </w:pPr>
            <w:r w:rsidRPr="005D324B">
              <w:rPr>
                <w:rFonts w:cs="Calibri"/>
                <w:color w:val="000000"/>
                <w:sz w:val="20"/>
              </w:rPr>
              <w:t>51</w:t>
            </w:r>
          </w:p>
        </w:tc>
        <w:tc>
          <w:tcPr>
            <w:tcW w:w="1000" w:type="dxa"/>
            <w:tcBorders>
              <w:top w:val="nil"/>
              <w:left w:val="nil"/>
              <w:bottom w:val="single" w:sz="4" w:space="0" w:color="auto"/>
              <w:right w:val="nil"/>
            </w:tcBorders>
            <w:shd w:val="clear" w:color="auto" w:fill="auto"/>
            <w:noWrap/>
            <w:vAlign w:val="center"/>
            <w:hideMark/>
          </w:tcPr>
          <w:p w14:paraId="4F7145DA" w14:textId="77777777" w:rsidR="005D324B" w:rsidRPr="005D324B" w:rsidRDefault="005D324B" w:rsidP="005D324B">
            <w:pPr>
              <w:jc w:val="center"/>
              <w:rPr>
                <w:rFonts w:cs="Calibri"/>
                <w:color w:val="000000"/>
                <w:sz w:val="20"/>
              </w:rPr>
            </w:pPr>
            <w:r w:rsidRPr="005D324B">
              <w:rPr>
                <w:rFonts w:cs="Calibri"/>
                <w:color w:val="000000"/>
                <w:sz w:val="20"/>
              </w:rPr>
              <w:t>47</w:t>
            </w:r>
          </w:p>
        </w:tc>
        <w:tc>
          <w:tcPr>
            <w:tcW w:w="1000" w:type="dxa"/>
            <w:tcBorders>
              <w:top w:val="nil"/>
              <w:left w:val="nil"/>
              <w:bottom w:val="single" w:sz="4" w:space="0" w:color="auto"/>
              <w:right w:val="nil"/>
            </w:tcBorders>
            <w:shd w:val="clear" w:color="auto" w:fill="auto"/>
            <w:noWrap/>
            <w:vAlign w:val="center"/>
            <w:hideMark/>
          </w:tcPr>
          <w:p w14:paraId="4791919D" w14:textId="77777777" w:rsidR="005D324B" w:rsidRPr="005D324B" w:rsidRDefault="005D324B" w:rsidP="005D324B">
            <w:pPr>
              <w:jc w:val="center"/>
              <w:rPr>
                <w:rFonts w:cs="Calibri"/>
                <w:color w:val="000000"/>
                <w:sz w:val="20"/>
              </w:rPr>
            </w:pPr>
            <w:r w:rsidRPr="005D324B">
              <w:rPr>
                <w:rFonts w:cs="Calibri"/>
                <w:color w:val="000000"/>
                <w:sz w:val="20"/>
              </w:rPr>
              <w:t>49</w:t>
            </w:r>
          </w:p>
        </w:tc>
        <w:tc>
          <w:tcPr>
            <w:tcW w:w="927" w:type="dxa"/>
            <w:tcBorders>
              <w:top w:val="nil"/>
              <w:left w:val="nil"/>
              <w:bottom w:val="single" w:sz="4" w:space="0" w:color="auto"/>
              <w:right w:val="nil"/>
            </w:tcBorders>
            <w:shd w:val="clear" w:color="auto" w:fill="auto"/>
            <w:noWrap/>
            <w:vAlign w:val="bottom"/>
            <w:hideMark/>
          </w:tcPr>
          <w:p w14:paraId="368C1093"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36649764" w14:textId="77777777" w:rsidR="005D324B" w:rsidRPr="005D324B" w:rsidRDefault="005D324B" w:rsidP="005D324B">
            <w:pPr>
              <w:jc w:val="center"/>
              <w:rPr>
                <w:rFonts w:cs="Calibri"/>
                <w:color w:val="000000"/>
                <w:sz w:val="20"/>
              </w:rPr>
            </w:pPr>
            <w:r w:rsidRPr="005D324B">
              <w:rPr>
                <w:rFonts w:cs="Calibri"/>
                <w:color w:val="000000"/>
                <w:sz w:val="20"/>
              </w:rPr>
              <w:t>-8%</w:t>
            </w:r>
          </w:p>
        </w:tc>
      </w:tr>
      <w:tr w:rsidR="005D324B" w:rsidRPr="005D324B" w14:paraId="7ACAE425"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81BC847" w14:textId="77777777" w:rsidR="005D324B" w:rsidRPr="005D324B" w:rsidRDefault="005D324B" w:rsidP="005D324B">
            <w:pPr>
              <w:rPr>
                <w:rFonts w:cs="Calibri"/>
                <w:color w:val="000000"/>
                <w:sz w:val="20"/>
              </w:rPr>
            </w:pPr>
            <w:r w:rsidRPr="005D324B">
              <w:rPr>
                <w:rFonts w:cs="Calibri"/>
                <w:color w:val="000000"/>
                <w:sz w:val="20"/>
              </w:rPr>
              <w:t>Illinois</w:t>
            </w:r>
          </w:p>
        </w:tc>
        <w:tc>
          <w:tcPr>
            <w:tcW w:w="1000" w:type="dxa"/>
            <w:tcBorders>
              <w:top w:val="nil"/>
              <w:left w:val="nil"/>
              <w:bottom w:val="single" w:sz="4" w:space="0" w:color="auto"/>
              <w:right w:val="nil"/>
            </w:tcBorders>
            <w:shd w:val="clear" w:color="auto" w:fill="auto"/>
            <w:noWrap/>
            <w:vAlign w:val="center"/>
            <w:hideMark/>
          </w:tcPr>
          <w:p w14:paraId="1CDF0BDC" w14:textId="77777777" w:rsidR="005D324B" w:rsidRPr="005D324B" w:rsidRDefault="005D324B" w:rsidP="005D324B">
            <w:pPr>
              <w:jc w:val="center"/>
              <w:rPr>
                <w:rFonts w:cs="Calibri"/>
                <w:color w:val="000000"/>
                <w:sz w:val="20"/>
              </w:rPr>
            </w:pPr>
            <w:r w:rsidRPr="005D324B">
              <w:rPr>
                <w:rFonts w:cs="Calibri"/>
                <w:color w:val="000000"/>
                <w:sz w:val="20"/>
              </w:rPr>
              <w:t>597</w:t>
            </w:r>
          </w:p>
        </w:tc>
        <w:tc>
          <w:tcPr>
            <w:tcW w:w="1000" w:type="dxa"/>
            <w:tcBorders>
              <w:top w:val="nil"/>
              <w:left w:val="nil"/>
              <w:bottom w:val="single" w:sz="4" w:space="0" w:color="auto"/>
              <w:right w:val="nil"/>
            </w:tcBorders>
            <w:shd w:val="clear" w:color="auto" w:fill="auto"/>
            <w:noWrap/>
            <w:vAlign w:val="center"/>
            <w:hideMark/>
          </w:tcPr>
          <w:p w14:paraId="33D6B603" w14:textId="77777777" w:rsidR="005D324B" w:rsidRPr="005D324B" w:rsidRDefault="005D324B" w:rsidP="005D324B">
            <w:pPr>
              <w:jc w:val="center"/>
              <w:rPr>
                <w:rFonts w:cs="Calibri"/>
                <w:color w:val="000000"/>
                <w:sz w:val="20"/>
              </w:rPr>
            </w:pPr>
            <w:r w:rsidRPr="005D324B">
              <w:rPr>
                <w:rFonts w:cs="Calibri"/>
                <w:color w:val="000000"/>
                <w:sz w:val="20"/>
              </w:rPr>
              <w:t>532</w:t>
            </w:r>
          </w:p>
        </w:tc>
        <w:tc>
          <w:tcPr>
            <w:tcW w:w="1000" w:type="dxa"/>
            <w:tcBorders>
              <w:top w:val="nil"/>
              <w:left w:val="nil"/>
              <w:bottom w:val="single" w:sz="4" w:space="0" w:color="auto"/>
              <w:right w:val="nil"/>
            </w:tcBorders>
            <w:shd w:val="clear" w:color="auto" w:fill="auto"/>
            <w:noWrap/>
            <w:vAlign w:val="center"/>
            <w:hideMark/>
          </w:tcPr>
          <w:p w14:paraId="4F1168AE" w14:textId="77777777" w:rsidR="005D324B" w:rsidRPr="005D324B" w:rsidRDefault="005D324B" w:rsidP="005D324B">
            <w:pPr>
              <w:jc w:val="center"/>
              <w:rPr>
                <w:rFonts w:cs="Calibri"/>
                <w:color w:val="000000"/>
                <w:sz w:val="20"/>
              </w:rPr>
            </w:pPr>
            <w:r w:rsidRPr="005D324B">
              <w:rPr>
                <w:rFonts w:cs="Calibri"/>
                <w:color w:val="000000"/>
                <w:sz w:val="20"/>
              </w:rPr>
              <w:t>527</w:t>
            </w:r>
          </w:p>
        </w:tc>
        <w:tc>
          <w:tcPr>
            <w:tcW w:w="1000" w:type="dxa"/>
            <w:tcBorders>
              <w:top w:val="nil"/>
              <w:left w:val="nil"/>
              <w:bottom w:val="single" w:sz="4" w:space="0" w:color="auto"/>
              <w:right w:val="nil"/>
            </w:tcBorders>
            <w:shd w:val="clear" w:color="auto" w:fill="auto"/>
            <w:noWrap/>
            <w:vAlign w:val="center"/>
            <w:hideMark/>
          </w:tcPr>
          <w:p w14:paraId="69E9C203" w14:textId="77777777" w:rsidR="005D324B" w:rsidRPr="005D324B" w:rsidRDefault="005D324B" w:rsidP="005D324B">
            <w:pPr>
              <w:jc w:val="center"/>
              <w:rPr>
                <w:rFonts w:cs="Calibri"/>
                <w:color w:val="000000"/>
                <w:sz w:val="20"/>
              </w:rPr>
            </w:pPr>
            <w:r w:rsidRPr="005D324B">
              <w:rPr>
                <w:rFonts w:cs="Calibri"/>
                <w:color w:val="000000"/>
                <w:sz w:val="20"/>
              </w:rPr>
              <w:t>498</w:t>
            </w:r>
          </w:p>
        </w:tc>
        <w:tc>
          <w:tcPr>
            <w:tcW w:w="1000" w:type="dxa"/>
            <w:tcBorders>
              <w:top w:val="nil"/>
              <w:left w:val="nil"/>
              <w:bottom w:val="single" w:sz="4" w:space="0" w:color="auto"/>
              <w:right w:val="nil"/>
            </w:tcBorders>
            <w:shd w:val="clear" w:color="auto" w:fill="auto"/>
            <w:noWrap/>
            <w:vAlign w:val="center"/>
            <w:hideMark/>
          </w:tcPr>
          <w:p w14:paraId="47C4CF05" w14:textId="77777777" w:rsidR="005D324B" w:rsidRPr="005D324B" w:rsidRDefault="005D324B" w:rsidP="005D324B">
            <w:pPr>
              <w:jc w:val="center"/>
              <w:rPr>
                <w:rFonts w:cs="Calibri"/>
                <w:color w:val="000000"/>
                <w:sz w:val="20"/>
              </w:rPr>
            </w:pPr>
            <w:r w:rsidRPr="005D324B">
              <w:rPr>
                <w:rFonts w:cs="Calibri"/>
                <w:color w:val="000000"/>
                <w:sz w:val="20"/>
              </w:rPr>
              <w:t>482</w:t>
            </w:r>
          </w:p>
        </w:tc>
        <w:tc>
          <w:tcPr>
            <w:tcW w:w="927" w:type="dxa"/>
            <w:tcBorders>
              <w:top w:val="nil"/>
              <w:left w:val="nil"/>
              <w:bottom w:val="single" w:sz="4" w:space="0" w:color="auto"/>
              <w:right w:val="nil"/>
            </w:tcBorders>
            <w:shd w:val="clear" w:color="auto" w:fill="auto"/>
            <w:noWrap/>
            <w:vAlign w:val="bottom"/>
            <w:hideMark/>
          </w:tcPr>
          <w:p w14:paraId="6446DC2A" w14:textId="77777777" w:rsidR="005D324B" w:rsidRPr="005D324B" w:rsidRDefault="005D324B" w:rsidP="005D324B">
            <w:pPr>
              <w:jc w:val="center"/>
              <w:rPr>
                <w:rFonts w:cs="Calibri"/>
                <w:color w:val="000000"/>
                <w:sz w:val="20"/>
              </w:rPr>
            </w:pPr>
            <w:r w:rsidRPr="005D324B">
              <w:rPr>
                <w:rFonts w:cs="Calibri"/>
                <w:color w:val="000000"/>
                <w:sz w:val="20"/>
              </w:rPr>
              <w:t>-115</w:t>
            </w:r>
          </w:p>
        </w:tc>
        <w:tc>
          <w:tcPr>
            <w:tcW w:w="1022" w:type="dxa"/>
            <w:tcBorders>
              <w:top w:val="nil"/>
              <w:left w:val="nil"/>
              <w:bottom w:val="single" w:sz="4" w:space="0" w:color="auto"/>
              <w:right w:val="nil"/>
            </w:tcBorders>
            <w:shd w:val="clear" w:color="auto" w:fill="auto"/>
            <w:noWrap/>
            <w:vAlign w:val="bottom"/>
            <w:hideMark/>
          </w:tcPr>
          <w:p w14:paraId="0D791FF0" w14:textId="77777777" w:rsidR="005D324B" w:rsidRPr="005D324B" w:rsidRDefault="005D324B" w:rsidP="005D324B">
            <w:pPr>
              <w:jc w:val="center"/>
              <w:rPr>
                <w:rFonts w:cs="Calibri"/>
                <w:color w:val="000000"/>
                <w:sz w:val="20"/>
              </w:rPr>
            </w:pPr>
            <w:r w:rsidRPr="005D324B">
              <w:rPr>
                <w:rFonts w:cs="Calibri"/>
                <w:color w:val="000000"/>
                <w:sz w:val="20"/>
              </w:rPr>
              <w:t>-19%</w:t>
            </w:r>
          </w:p>
        </w:tc>
      </w:tr>
      <w:tr w:rsidR="005D324B" w:rsidRPr="005D324B" w14:paraId="0891EA6A"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49F54DA" w14:textId="77777777" w:rsidR="005D324B" w:rsidRPr="005D324B" w:rsidRDefault="005D324B" w:rsidP="005D324B">
            <w:pPr>
              <w:rPr>
                <w:rFonts w:cs="Calibri"/>
                <w:color w:val="000000"/>
                <w:sz w:val="20"/>
              </w:rPr>
            </w:pPr>
            <w:r w:rsidRPr="005D324B">
              <w:rPr>
                <w:rFonts w:cs="Calibri"/>
                <w:color w:val="000000"/>
                <w:sz w:val="20"/>
              </w:rPr>
              <w:t>Indiana</w:t>
            </w:r>
          </w:p>
        </w:tc>
        <w:tc>
          <w:tcPr>
            <w:tcW w:w="1000" w:type="dxa"/>
            <w:tcBorders>
              <w:top w:val="nil"/>
              <w:left w:val="nil"/>
              <w:bottom w:val="single" w:sz="4" w:space="0" w:color="auto"/>
              <w:right w:val="nil"/>
            </w:tcBorders>
            <w:shd w:val="clear" w:color="auto" w:fill="auto"/>
            <w:noWrap/>
            <w:vAlign w:val="center"/>
            <w:hideMark/>
          </w:tcPr>
          <w:p w14:paraId="7F87214F" w14:textId="77777777" w:rsidR="005D324B" w:rsidRPr="005D324B" w:rsidRDefault="005D324B" w:rsidP="005D324B">
            <w:pPr>
              <w:jc w:val="center"/>
              <w:rPr>
                <w:rFonts w:cs="Calibri"/>
                <w:color w:val="000000"/>
                <w:sz w:val="20"/>
              </w:rPr>
            </w:pPr>
            <w:r w:rsidRPr="005D324B">
              <w:rPr>
                <w:rFonts w:cs="Calibri"/>
                <w:color w:val="000000"/>
                <w:sz w:val="20"/>
              </w:rPr>
              <w:t>171</w:t>
            </w:r>
          </w:p>
        </w:tc>
        <w:tc>
          <w:tcPr>
            <w:tcW w:w="1000" w:type="dxa"/>
            <w:tcBorders>
              <w:top w:val="nil"/>
              <w:left w:val="nil"/>
              <w:bottom w:val="single" w:sz="4" w:space="0" w:color="auto"/>
              <w:right w:val="nil"/>
            </w:tcBorders>
            <w:shd w:val="clear" w:color="auto" w:fill="auto"/>
            <w:noWrap/>
            <w:vAlign w:val="center"/>
            <w:hideMark/>
          </w:tcPr>
          <w:p w14:paraId="7E15C609" w14:textId="77777777" w:rsidR="005D324B" w:rsidRPr="005D324B" w:rsidRDefault="005D324B" w:rsidP="005D324B">
            <w:pPr>
              <w:jc w:val="center"/>
              <w:rPr>
                <w:rFonts w:cs="Calibri"/>
                <w:color w:val="000000"/>
                <w:sz w:val="20"/>
              </w:rPr>
            </w:pPr>
            <w:r w:rsidRPr="005D324B">
              <w:rPr>
                <w:rFonts w:cs="Calibri"/>
                <w:color w:val="000000"/>
                <w:sz w:val="20"/>
              </w:rPr>
              <w:t>160</w:t>
            </w:r>
          </w:p>
        </w:tc>
        <w:tc>
          <w:tcPr>
            <w:tcW w:w="1000" w:type="dxa"/>
            <w:tcBorders>
              <w:top w:val="nil"/>
              <w:left w:val="nil"/>
              <w:bottom w:val="single" w:sz="4" w:space="0" w:color="auto"/>
              <w:right w:val="nil"/>
            </w:tcBorders>
            <w:shd w:val="clear" w:color="auto" w:fill="auto"/>
            <w:noWrap/>
            <w:vAlign w:val="center"/>
            <w:hideMark/>
          </w:tcPr>
          <w:p w14:paraId="245B4EAB" w14:textId="77777777" w:rsidR="005D324B" w:rsidRPr="005D324B" w:rsidRDefault="005D324B" w:rsidP="005D324B">
            <w:pPr>
              <w:jc w:val="center"/>
              <w:rPr>
                <w:rFonts w:cs="Calibri"/>
                <w:color w:val="000000"/>
                <w:sz w:val="20"/>
              </w:rPr>
            </w:pPr>
            <w:r w:rsidRPr="005D324B">
              <w:rPr>
                <w:rFonts w:cs="Calibri"/>
                <w:color w:val="000000"/>
                <w:sz w:val="20"/>
              </w:rPr>
              <w:t>152</w:t>
            </w:r>
          </w:p>
        </w:tc>
        <w:tc>
          <w:tcPr>
            <w:tcW w:w="1000" w:type="dxa"/>
            <w:tcBorders>
              <w:top w:val="nil"/>
              <w:left w:val="nil"/>
              <w:bottom w:val="single" w:sz="4" w:space="0" w:color="auto"/>
              <w:right w:val="nil"/>
            </w:tcBorders>
            <w:shd w:val="clear" w:color="auto" w:fill="auto"/>
            <w:noWrap/>
            <w:vAlign w:val="center"/>
            <w:hideMark/>
          </w:tcPr>
          <w:p w14:paraId="5DE5B249" w14:textId="77777777" w:rsidR="005D324B" w:rsidRPr="005D324B" w:rsidRDefault="005D324B" w:rsidP="005D324B">
            <w:pPr>
              <w:jc w:val="center"/>
              <w:rPr>
                <w:rFonts w:cs="Calibri"/>
                <w:color w:val="000000"/>
                <w:sz w:val="20"/>
              </w:rPr>
            </w:pPr>
            <w:r w:rsidRPr="005D324B">
              <w:rPr>
                <w:rFonts w:cs="Calibri"/>
                <w:color w:val="000000"/>
                <w:sz w:val="20"/>
              </w:rPr>
              <w:t>140</w:t>
            </w:r>
          </w:p>
        </w:tc>
        <w:tc>
          <w:tcPr>
            <w:tcW w:w="1000" w:type="dxa"/>
            <w:tcBorders>
              <w:top w:val="nil"/>
              <w:left w:val="nil"/>
              <w:bottom w:val="single" w:sz="4" w:space="0" w:color="auto"/>
              <w:right w:val="nil"/>
            </w:tcBorders>
            <w:shd w:val="clear" w:color="auto" w:fill="auto"/>
            <w:noWrap/>
            <w:vAlign w:val="center"/>
            <w:hideMark/>
          </w:tcPr>
          <w:p w14:paraId="4FF59540" w14:textId="77777777" w:rsidR="005D324B" w:rsidRPr="005D324B" w:rsidRDefault="005D324B" w:rsidP="005D324B">
            <w:pPr>
              <w:jc w:val="center"/>
              <w:rPr>
                <w:rFonts w:cs="Calibri"/>
                <w:color w:val="000000"/>
                <w:sz w:val="20"/>
              </w:rPr>
            </w:pPr>
            <w:r w:rsidRPr="005D324B">
              <w:rPr>
                <w:rFonts w:cs="Calibri"/>
                <w:color w:val="000000"/>
                <w:sz w:val="20"/>
              </w:rPr>
              <w:t>133</w:t>
            </w:r>
          </w:p>
        </w:tc>
        <w:tc>
          <w:tcPr>
            <w:tcW w:w="927" w:type="dxa"/>
            <w:tcBorders>
              <w:top w:val="nil"/>
              <w:left w:val="nil"/>
              <w:bottom w:val="single" w:sz="4" w:space="0" w:color="auto"/>
              <w:right w:val="nil"/>
            </w:tcBorders>
            <w:shd w:val="clear" w:color="auto" w:fill="auto"/>
            <w:noWrap/>
            <w:vAlign w:val="bottom"/>
            <w:hideMark/>
          </w:tcPr>
          <w:p w14:paraId="1B6BA652" w14:textId="77777777" w:rsidR="005D324B" w:rsidRPr="005D324B" w:rsidRDefault="005D324B" w:rsidP="005D324B">
            <w:pPr>
              <w:jc w:val="center"/>
              <w:rPr>
                <w:rFonts w:cs="Calibri"/>
                <w:color w:val="000000"/>
                <w:sz w:val="20"/>
              </w:rPr>
            </w:pPr>
            <w:r w:rsidRPr="005D324B">
              <w:rPr>
                <w:rFonts w:cs="Calibri"/>
                <w:color w:val="000000"/>
                <w:sz w:val="20"/>
              </w:rPr>
              <w:t>-38</w:t>
            </w:r>
          </w:p>
        </w:tc>
        <w:tc>
          <w:tcPr>
            <w:tcW w:w="1022" w:type="dxa"/>
            <w:tcBorders>
              <w:top w:val="nil"/>
              <w:left w:val="nil"/>
              <w:bottom w:val="single" w:sz="4" w:space="0" w:color="auto"/>
              <w:right w:val="nil"/>
            </w:tcBorders>
            <w:shd w:val="clear" w:color="auto" w:fill="auto"/>
            <w:noWrap/>
            <w:vAlign w:val="bottom"/>
            <w:hideMark/>
          </w:tcPr>
          <w:p w14:paraId="0BD86B1D" w14:textId="77777777" w:rsidR="005D324B" w:rsidRPr="005D324B" w:rsidRDefault="005D324B" w:rsidP="005D324B">
            <w:pPr>
              <w:jc w:val="center"/>
              <w:rPr>
                <w:rFonts w:cs="Calibri"/>
                <w:color w:val="000000"/>
                <w:sz w:val="20"/>
              </w:rPr>
            </w:pPr>
            <w:r w:rsidRPr="005D324B">
              <w:rPr>
                <w:rFonts w:cs="Calibri"/>
                <w:color w:val="000000"/>
                <w:sz w:val="20"/>
              </w:rPr>
              <w:t>-22%</w:t>
            </w:r>
          </w:p>
        </w:tc>
      </w:tr>
      <w:tr w:rsidR="005D324B" w:rsidRPr="005D324B" w14:paraId="686A7956"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0DAA4CB" w14:textId="77777777" w:rsidR="005D324B" w:rsidRPr="005D324B" w:rsidRDefault="005D324B" w:rsidP="005D324B">
            <w:pPr>
              <w:rPr>
                <w:rFonts w:cs="Calibri"/>
                <w:color w:val="000000"/>
                <w:sz w:val="20"/>
              </w:rPr>
            </w:pPr>
            <w:r w:rsidRPr="005D324B">
              <w:rPr>
                <w:rFonts w:cs="Calibri"/>
                <w:color w:val="000000"/>
                <w:sz w:val="20"/>
              </w:rPr>
              <w:t>Iowa</w:t>
            </w:r>
          </w:p>
        </w:tc>
        <w:tc>
          <w:tcPr>
            <w:tcW w:w="1000" w:type="dxa"/>
            <w:tcBorders>
              <w:top w:val="nil"/>
              <w:left w:val="nil"/>
              <w:bottom w:val="single" w:sz="4" w:space="0" w:color="auto"/>
              <w:right w:val="nil"/>
            </w:tcBorders>
            <w:shd w:val="clear" w:color="auto" w:fill="auto"/>
            <w:noWrap/>
            <w:vAlign w:val="center"/>
            <w:hideMark/>
          </w:tcPr>
          <w:p w14:paraId="3EF0FA1B" w14:textId="77777777" w:rsidR="005D324B" w:rsidRPr="005D324B" w:rsidRDefault="005D324B" w:rsidP="005D324B">
            <w:pPr>
              <w:jc w:val="center"/>
              <w:rPr>
                <w:rFonts w:cs="Calibri"/>
                <w:color w:val="000000"/>
                <w:sz w:val="20"/>
              </w:rPr>
            </w:pPr>
            <w:r w:rsidRPr="005D324B">
              <w:rPr>
                <w:rFonts w:cs="Calibri"/>
                <w:color w:val="000000"/>
                <w:sz w:val="20"/>
              </w:rPr>
              <w:t>128</w:t>
            </w:r>
          </w:p>
        </w:tc>
        <w:tc>
          <w:tcPr>
            <w:tcW w:w="1000" w:type="dxa"/>
            <w:tcBorders>
              <w:top w:val="nil"/>
              <w:left w:val="nil"/>
              <w:bottom w:val="single" w:sz="4" w:space="0" w:color="auto"/>
              <w:right w:val="nil"/>
            </w:tcBorders>
            <w:shd w:val="clear" w:color="auto" w:fill="auto"/>
            <w:noWrap/>
            <w:vAlign w:val="center"/>
            <w:hideMark/>
          </w:tcPr>
          <w:p w14:paraId="3DB7A909" w14:textId="77777777" w:rsidR="005D324B" w:rsidRPr="005D324B" w:rsidRDefault="005D324B" w:rsidP="005D324B">
            <w:pPr>
              <w:jc w:val="center"/>
              <w:rPr>
                <w:rFonts w:cs="Calibri"/>
                <w:color w:val="000000"/>
                <w:sz w:val="20"/>
              </w:rPr>
            </w:pPr>
            <w:r w:rsidRPr="005D324B">
              <w:rPr>
                <w:rFonts w:cs="Calibri"/>
                <w:color w:val="000000"/>
                <w:sz w:val="20"/>
              </w:rPr>
              <w:t>123</w:t>
            </w:r>
          </w:p>
        </w:tc>
        <w:tc>
          <w:tcPr>
            <w:tcW w:w="1000" w:type="dxa"/>
            <w:tcBorders>
              <w:top w:val="nil"/>
              <w:left w:val="nil"/>
              <w:bottom w:val="single" w:sz="4" w:space="0" w:color="auto"/>
              <w:right w:val="nil"/>
            </w:tcBorders>
            <w:shd w:val="clear" w:color="auto" w:fill="auto"/>
            <w:noWrap/>
            <w:vAlign w:val="center"/>
            <w:hideMark/>
          </w:tcPr>
          <w:p w14:paraId="49DCA632" w14:textId="77777777" w:rsidR="005D324B" w:rsidRPr="005D324B" w:rsidRDefault="005D324B" w:rsidP="005D324B">
            <w:pPr>
              <w:jc w:val="center"/>
              <w:rPr>
                <w:rFonts w:cs="Calibri"/>
                <w:color w:val="000000"/>
                <w:sz w:val="20"/>
              </w:rPr>
            </w:pPr>
            <w:r w:rsidRPr="005D324B">
              <w:rPr>
                <w:rFonts w:cs="Calibri"/>
                <w:color w:val="000000"/>
                <w:sz w:val="20"/>
              </w:rPr>
              <w:t>117</w:t>
            </w:r>
          </w:p>
        </w:tc>
        <w:tc>
          <w:tcPr>
            <w:tcW w:w="1000" w:type="dxa"/>
            <w:tcBorders>
              <w:top w:val="nil"/>
              <w:left w:val="nil"/>
              <w:bottom w:val="single" w:sz="4" w:space="0" w:color="auto"/>
              <w:right w:val="nil"/>
            </w:tcBorders>
            <w:shd w:val="clear" w:color="auto" w:fill="auto"/>
            <w:noWrap/>
            <w:vAlign w:val="center"/>
            <w:hideMark/>
          </w:tcPr>
          <w:p w14:paraId="30E0A388" w14:textId="77777777" w:rsidR="005D324B" w:rsidRPr="005D324B" w:rsidRDefault="005D324B" w:rsidP="005D324B">
            <w:pPr>
              <w:jc w:val="center"/>
              <w:rPr>
                <w:rFonts w:cs="Calibri"/>
                <w:color w:val="000000"/>
                <w:sz w:val="20"/>
              </w:rPr>
            </w:pPr>
            <w:r w:rsidRPr="005D324B">
              <w:rPr>
                <w:rFonts w:cs="Calibri"/>
                <w:color w:val="000000"/>
                <w:sz w:val="20"/>
              </w:rPr>
              <w:t>113</w:t>
            </w:r>
          </w:p>
        </w:tc>
        <w:tc>
          <w:tcPr>
            <w:tcW w:w="1000" w:type="dxa"/>
            <w:tcBorders>
              <w:top w:val="nil"/>
              <w:left w:val="nil"/>
              <w:bottom w:val="single" w:sz="4" w:space="0" w:color="auto"/>
              <w:right w:val="nil"/>
            </w:tcBorders>
            <w:shd w:val="clear" w:color="auto" w:fill="auto"/>
            <w:noWrap/>
            <w:vAlign w:val="center"/>
            <w:hideMark/>
          </w:tcPr>
          <w:p w14:paraId="34EE6A4E" w14:textId="77777777" w:rsidR="005D324B" w:rsidRPr="005D324B" w:rsidRDefault="005D324B" w:rsidP="005D324B">
            <w:pPr>
              <w:jc w:val="center"/>
              <w:rPr>
                <w:rFonts w:cs="Calibri"/>
                <w:color w:val="000000"/>
                <w:sz w:val="20"/>
              </w:rPr>
            </w:pPr>
            <w:r w:rsidRPr="005D324B">
              <w:rPr>
                <w:rFonts w:cs="Calibri"/>
                <w:color w:val="000000"/>
                <w:sz w:val="20"/>
              </w:rPr>
              <w:t>110</w:t>
            </w:r>
          </w:p>
        </w:tc>
        <w:tc>
          <w:tcPr>
            <w:tcW w:w="927" w:type="dxa"/>
            <w:tcBorders>
              <w:top w:val="nil"/>
              <w:left w:val="nil"/>
              <w:bottom w:val="single" w:sz="4" w:space="0" w:color="auto"/>
              <w:right w:val="nil"/>
            </w:tcBorders>
            <w:shd w:val="clear" w:color="auto" w:fill="auto"/>
            <w:noWrap/>
            <w:vAlign w:val="bottom"/>
            <w:hideMark/>
          </w:tcPr>
          <w:p w14:paraId="3970FA45" w14:textId="77777777" w:rsidR="005D324B" w:rsidRPr="005D324B" w:rsidRDefault="005D324B" w:rsidP="005D324B">
            <w:pPr>
              <w:jc w:val="center"/>
              <w:rPr>
                <w:rFonts w:cs="Calibri"/>
                <w:color w:val="000000"/>
                <w:sz w:val="20"/>
              </w:rPr>
            </w:pPr>
            <w:r w:rsidRPr="005D324B">
              <w:rPr>
                <w:rFonts w:cs="Calibri"/>
                <w:color w:val="000000"/>
                <w:sz w:val="20"/>
              </w:rPr>
              <w:t>-18</w:t>
            </w:r>
          </w:p>
        </w:tc>
        <w:tc>
          <w:tcPr>
            <w:tcW w:w="1022" w:type="dxa"/>
            <w:tcBorders>
              <w:top w:val="nil"/>
              <w:left w:val="nil"/>
              <w:bottom w:val="single" w:sz="4" w:space="0" w:color="auto"/>
              <w:right w:val="nil"/>
            </w:tcBorders>
            <w:shd w:val="clear" w:color="auto" w:fill="auto"/>
            <w:noWrap/>
            <w:vAlign w:val="bottom"/>
            <w:hideMark/>
          </w:tcPr>
          <w:p w14:paraId="3E3DEAEE" w14:textId="77777777" w:rsidR="005D324B" w:rsidRPr="005D324B" w:rsidRDefault="005D324B" w:rsidP="005D324B">
            <w:pPr>
              <w:jc w:val="center"/>
              <w:rPr>
                <w:rFonts w:cs="Calibri"/>
                <w:color w:val="000000"/>
                <w:sz w:val="20"/>
              </w:rPr>
            </w:pPr>
            <w:r w:rsidRPr="005D324B">
              <w:rPr>
                <w:rFonts w:cs="Calibri"/>
                <w:color w:val="000000"/>
                <w:sz w:val="20"/>
              </w:rPr>
              <w:t>-14%</w:t>
            </w:r>
          </w:p>
        </w:tc>
      </w:tr>
      <w:tr w:rsidR="005D324B" w:rsidRPr="005D324B" w14:paraId="52657207"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7BDC004" w14:textId="77777777" w:rsidR="005D324B" w:rsidRPr="005D324B" w:rsidRDefault="005D324B" w:rsidP="005D324B">
            <w:pPr>
              <w:rPr>
                <w:rFonts w:cs="Calibri"/>
                <w:color w:val="000000"/>
                <w:sz w:val="20"/>
              </w:rPr>
            </w:pPr>
            <w:r w:rsidRPr="005D324B">
              <w:rPr>
                <w:rFonts w:cs="Calibri"/>
                <w:color w:val="000000"/>
                <w:sz w:val="20"/>
              </w:rPr>
              <w:t>Kansas</w:t>
            </w:r>
          </w:p>
        </w:tc>
        <w:tc>
          <w:tcPr>
            <w:tcW w:w="1000" w:type="dxa"/>
            <w:tcBorders>
              <w:top w:val="nil"/>
              <w:left w:val="nil"/>
              <w:bottom w:val="single" w:sz="4" w:space="0" w:color="auto"/>
              <w:right w:val="nil"/>
            </w:tcBorders>
            <w:shd w:val="clear" w:color="auto" w:fill="auto"/>
            <w:noWrap/>
            <w:vAlign w:val="center"/>
            <w:hideMark/>
          </w:tcPr>
          <w:p w14:paraId="257C4940" w14:textId="77777777" w:rsidR="005D324B" w:rsidRPr="005D324B" w:rsidRDefault="005D324B" w:rsidP="005D324B">
            <w:pPr>
              <w:jc w:val="center"/>
              <w:rPr>
                <w:rFonts w:cs="Calibri"/>
                <w:color w:val="000000"/>
                <w:sz w:val="20"/>
              </w:rPr>
            </w:pPr>
            <w:r w:rsidRPr="005D324B">
              <w:rPr>
                <w:rFonts w:cs="Calibri"/>
                <w:color w:val="000000"/>
                <w:sz w:val="20"/>
              </w:rPr>
              <w:t>112</w:t>
            </w:r>
          </w:p>
        </w:tc>
        <w:tc>
          <w:tcPr>
            <w:tcW w:w="1000" w:type="dxa"/>
            <w:tcBorders>
              <w:top w:val="nil"/>
              <w:left w:val="nil"/>
              <w:bottom w:val="single" w:sz="4" w:space="0" w:color="auto"/>
              <w:right w:val="nil"/>
            </w:tcBorders>
            <w:shd w:val="clear" w:color="auto" w:fill="auto"/>
            <w:noWrap/>
            <w:vAlign w:val="center"/>
            <w:hideMark/>
          </w:tcPr>
          <w:p w14:paraId="2C12D007" w14:textId="77777777" w:rsidR="005D324B" w:rsidRPr="005D324B" w:rsidRDefault="005D324B" w:rsidP="005D324B">
            <w:pPr>
              <w:jc w:val="center"/>
              <w:rPr>
                <w:rFonts w:cs="Calibri"/>
                <w:color w:val="000000"/>
                <w:sz w:val="20"/>
              </w:rPr>
            </w:pPr>
            <w:r w:rsidRPr="005D324B">
              <w:rPr>
                <w:rFonts w:cs="Calibri"/>
                <w:color w:val="000000"/>
                <w:sz w:val="20"/>
              </w:rPr>
              <w:t>106</w:t>
            </w:r>
          </w:p>
        </w:tc>
        <w:tc>
          <w:tcPr>
            <w:tcW w:w="1000" w:type="dxa"/>
            <w:tcBorders>
              <w:top w:val="nil"/>
              <w:left w:val="nil"/>
              <w:bottom w:val="single" w:sz="4" w:space="0" w:color="auto"/>
              <w:right w:val="nil"/>
            </w:tcBorders>
            <w:shd w:val="clear" w:color="auto" w:fill="auto"/>
            <w:noWrap/>
            <w:vAlign w:val="center"/>
            <w:hideMark/>
          </w:tcPr>
          <w:p w14:paraId="68C363B9" w14:textId="77777777" w:rsidR="005D324B" w:rsidRPr="005D324B" w:rsidRDefault="005D324B" w:rsidP="005D324B">
            <w:pPr>
              <w:jc w:val="center"/>
              <w:rPr>
                <w:rFonts w:cs="Calibri"/>
                <w:color w:val="000000"/>
                <w:sz w:val="20"/>
              </w:rPr>
            </w:pPr>
            <w:r w:rsidRPr="005D324B">
              <w:rPr>
                <w:rFonts w:cs="Calibri"/>
                <w:color w:val="000000"/>
                <w:sz w:val="20"/>
              </w:rPr>
              <w:t>104</w:t>
            </w:r>
          </w:p>
        </w:tc>
        <w:tc>
          <w:tcPr>
            <w:tcW w:w="1000" w:type="dxa"/>
            <w:tcBorders>
              <w:top w:val="nil"/>
              <w:left w:val="nil"/>
              <w:bottom w:val="single" w:sz="4" w:space="0" w:color="auto"/>
              <w:right w:val="nil"/>
            </w:tcBorders>
            <w:shd w:val="clear" w:color="auto" w:fill="auto"/>
            <w:noWrap/>
            <w:vAlign w:val="center"/>
            <w:hideMark/>
          </w:tcPr>
          <w:p w14:paraId="2AD59F7A" w14:textId="77777777" w:rsidR="005D324B" w:rsidRPr="005D324B" w:rsidRDefault="005D324B" w:rsidP="005D324B">
            <w:pPr>
              <w:jc w:val="center"/>
              <w:rPr>
                <w:rFonts w:cs="Calibri"/>
                <w:color w:val="000000"/>
                <w:sz w:val="20"/>
              </w:rPr>
            </w:pPr>
            <w:r w:rsidRPr="005D324B">
              <w:rPr>
                <w:rFonts w:cs="Calibri"/>
                <w:color w:val="000000"/>
                <w:sz w:val="20"/>
              </w:rPr>
              <w:t>98</w:t>
            </w:r>
          </w:p>
        </w:tc>
        <w:tc>
          <w:tcPr>
            <w:tcW w:w="1000" w:type="dxa"/>
            <w:tcBorders>
              <w:top w:val="nil"/>
              <w:left w:val="nil"/>
              <w:bottom w:val="single" w:sz="4" w:space="0" w:color="auto"/>
              <w:right w:val="nil"/>
            </w:tcBorders>
            <w:shd w:val="clear" w:color="auto" w:fill="auto"/>
            <w:noWrap/>
            <w:vAlign w:val="center"/>
            <w:hideMark/>
          </w:tcPr>
          <w:p w14:paraId="6053DB0B" w14:textId="77777777" w:rsidR="005D324B" w:rsidRPr="005D324B" w:rsidRDefault="005D324B" w:rsidP="005D324B">
            <w:pPr>
              <w:jc w:val="center"/>
              <w:rPr>
                <w:rFonts w:cs="Calibri"/>
                <w:color w:val="000000"/>
                <w:sz w:val="20"/>
              </w:rPr>
            </w:pPr>
            <w:r w:rsidRPr="005D324B">
              <w:rPr>
                <w:rFonts w:cs="Calibri"/>
                <w:color w:val="000000"/>
                <w:sz w:val="20"/>
              </w:rPr>
              <w:t>96</w:t>
            </w:r>
          </w:p>
        </w:tc>
        <w:tc>
          <w:tcPr>
            <w:tcW w:w="927" w:type="dxa"/>
            <w:tcBorders>
              <w:top w:val="nil"/>
              <w:left w:val="nil"/>
              <w:bottom w:val="single" w:sz="4" w:space="0" w:color="auto"/>
              <w:right w:val="nil"/>
            </w:tcBorders>
            <w:shd w:val="clear" w:color="auto" w:fill="auto"/>
            <w:noWrap/>
            <w:vAlign w:val="bottom"/>
            <w:hideMark/>
          </w:tcPr>
          <w:p w14:paraId="0C071907"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22" w:type="dxa"/>
            <w:tcBorders>
              <w:top w:val="nil"/>
              <w:left w:val="nil"/>
              <w:bottom w:val="single" w:sz="4" w:space="0" w:color="auto"/>
              <w:right w:val="nil"/>
            </w:tcBorders>
            <w:shd w:val="clear" w:color="auto" w:fill="auto"/>
            <w:noWrap/>
            <w:vAlign w:val="bottom"/>
            <w:hideMark/>
          </w:tcPr>
          <w:p w14:paraId="0757E7D4" w14:textId="77777777" w:rsidR="005D324B" w:rsidRPr="005D324B" w:rsidRDefault="005D324B" w:rsidP="005D324B">
            <w:pPr>
              <w:jc w:val="center"/>
              <w:rPr>
                <w:rFonts w:cs="Calibri"/>
                <w:color w:val="000000"/>
                <w:sz w:val="20"/>
              </w:rPr>
            </w:pPr>
            <w:r w:rsidRPr="005D324B">
              <w:rPr>
                <w:rFonts w:cs="Calibri"/>
                <w:color w:val="000000"/>
                <w:sz w:val="20"/>
              </w:rPr>
              <w:t>-14%</w:t>
            </w:r>
          </w:p>
        </w:tc>
      </w:tr>
      <w:tr w:rsidR="005D324B" w:rsidRPr="005D324B" w14:paraId="3C336D2C"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18D4515C" w14:textId="77777777" w:rsidR="005D324B" w:rsidRPr="005D324B" w:rsidRDefault="005D324B" w:rsidP="005D324B">
            <w:pPr>
              <w:rPr>
                <w:rFonts w:cs="Calibri"/>
                <w:color w:val="000000"/>
                <w:sz w:val="20"/>
              </w:rPr>
            </w:pPr>
            <w:r w:rsidRPr="005D324B">
              <w:rPr>
                <w:rFonts w:cs="Calibri"/>
                <w:color w:val="000000"/>
                <w:sz w:val="20"/>
              </w:rPr>
              <w:t>Kentucky</w:t>
            </w:r>
          </w:p>
        </w:tc>
        <w:tc>
          <w:tcPr>
            <w:tcW w:w="1000" w:type="dxa"/>
            <w:tcBorders>
              <w:top w:val="nil"/>
              <w:left w:val="nil"/>
              <w:bottom w:val="single" w:sz="4" w:space="0" w:color="auto"/>
              <w:right w:val="nil"/>
            </w:tcBorders>
            <w:shd w:val="clear" w:color="auto" w:fill="auto"/>
            <w:noWrap/>
            <w:vAlign w:val="center"/>
            <w:hideMark/>
          </w:tcPr>
          <w:p w14:paraId="2441EF98" w14:textId="77777777" w:rsidR="005D324B" w:rsidRPr="005D324B" w:rsidRDefault="005D324B" w:rsidP="005D324B">
            <w:pPr>
              <w:jc w:val="center"/>
              <w:rPr>
                <w:rFonts w:cs="Calibri"/>
                <w:color w:val="000000"/>
                <w:sz w:val="20"/>
              </w:rPr>
            </w:pPr>
            <w:r w:rsidRPr="005D324B">
              <w:rPr>
                <w:rFonts w:cs="Calibri"/>
                <w:color w:val="000000"/>
                <w:sz w:val="20"/>
              </w:rPr>
              <w:t>102</w:t>
            </w:r>
          </w:p>
        </w:tc>
        <w:tc>
          <w:tcPr>
            <w:tcW w:w="1000" w:type="dxa"/>
            <w:tcBorders>
              <w:top w:val="nil"/>
              <w:left w:val="nil"/>
              <w:bottom w:val="single" w:sz="4" w:space="0" w:color="auto"/>
              <w:right w:val="nil"/>
            </w:tcBorders>
            <w:shd w:val="clear" w:color="auto" w:fill="auto"/>
            <w:noWrap/>
            <w:vAlign w:val="center"/>
            <w:hideMark/>
          </w:tcPr>
          <w:p w14:paraId="10916467" w14:textId="77777777" w:rsidR="005D324B" w:rsidRPr="005D324B" w:rsidRDefault="005D324B" w:rsidP="005D324B">
            <w:pPr>
              <w:jc w:val="center"/>
              <w:rPr>
                <w:rFonts w:cs="Calibri"/>
                <w:color w:val="000000"/>
                <w:sz w:val="20"/>
              </w:rPr>
            </w:pPr>
            <w:r w:rsidRPr="005D324B">
              <w:rPr>
                <w:rFonts w:cs="Calibri"/>
                <w:color w:val="000000"/>
                <w:sz w:val="20"/>
              </w:rPr>
              <w:t>94</w:t>
            </w:r>
          </w:p>
        </w:tc>
        <w:tc>
          <w:tcPr>
            <w:tcW w:w="1000" w:type="dxa"/>
            <w:tcBorders>
              <w:top w:val="nil"/>
              <w:left w:val="nil"/>
              <w:bottom w:val="single" w:sz="4" w:space="0" w:color="auto"/>
              <w:right w:val="nil"/>
            </w:tcBorders>
            <w:shd w:val="clear" w:color="auto" w:fill="auto"/>
            <w:noWrap/>
            <w:vAlign w:val="center"/>
            <w:hideMark/>
          </w:tcPr>
          <w:p w14:paraId="34C57027" w14:textId="77777777" w:rsidR="005D324B" w:rsidRPr="005D324B" w:rsidRDefault="005D324B" w:rsidP="005D324B">
            <w:pPr>
              <w:jc w:val="center"/>
              <w:rPr>
                <w:rFonts w:cs="Calibri"/>
                <w:color w:val="000000"/>
                <w:sz w:val="20"/>
              </w:rPr>
            </w:pPr>
            <w:r w:rsidRPr="005D324B">
              <w:rPr>
                <w:rFonts w:cs="Calibri"/>
                <w:color w:val="000000"/>
                <w:sz w:val="20"/>
              </w:rPr>
              <w:t>90</w:t>
            </w:r>
          </w:p>
        </w:tc>
        <w:tc>
          <w:tcPr>
            <w:tcW w:w="1000" w:type="dxa"/>
            <w:tcBorders>
              <w:top w:val="nil"/>
              <w:left w:val="nil"/>
              <w:bottom w:val="single" w:sz="4" w:space="0" w:color="auto"/>
              <w:right w:val="nil"/>
            </w:tcBorders>
            <w:shd w:val="clear" w:color="auto" w:fill="auto"/>
            <w:noWrap/>
            <w:vAlign w:val="center"/>
            <w:hideMark/>
          </w:tcPr>
          <w:p w14:paraId="156C4C81" w14:textId="77777777" w:rsidR="005D324B" w:rsidRPr="005D324B" w:rsidRDefault="005D324B" w:rsidP="005D324B">
            <w:pPr>
              <w:jc w:val="center"/>
              <w:rPr>
                <w:rFonts w:cs="Calibri"/>
                <w:color w:val="000000"/>
                <w:sz w:val="20"/>
              </w:rPr>
            </w:pPr>
            <w:r w:rsidRPr="005D324B">
              <w:rPr>
                <w:rFonts w:cs="Calibri"/>
                <w:color w:val="000000"/>
                <w:sz w:val="20"/>
              </w:rPr>
              <w:t>87</w:t>
            </w:r>
          </w:p>
        </w:tc>
        <w:tc>
          <w:tcPr>
            <w:tcW w:w="1000" w:type="dxa"/>
            <w:tcBorders>
              <w:top w:val="nil"/>
              <w:left w:val="nil"/>
              <w:bottom w:val="single" w:sz="4" w:space="0" w:color="auto"/>
              <w:right w:val="nil"/>
            </w:tcBorders>
            <w:shd w:val="clear" w:color="auto" w:fill="auto"/>
            <w:noWrap/>
            <w:vAlign w:val="center"/>
            <w:hideMark/>
          </w:tcPr>
          <w:p w14:paraId="76BFBD83" w14:textId="77777777" w:rsidR="005D324B" w:rsidRPr="005D324B" w:rsidRDefault="005D324B" w:rsidP="005D324B">
            <w:pPr>
              <w:jc w:val="center"/>
              <w:rPr>
                <w:rFonts w:cs="Calibri"/>
                <w:color w:val="000000"/>
                <w:sz w:val="20"/>
              </w:rPr>
            </w:pPr>
            <w:r w:rsidRPr="005D324B">
              <w:rPr>
                <w:rFonts w:cs="Calibri"/>
                <w:color w:val="000000"/>
                <w:sz w:val="20"/>
              </w:rPr>
              <w:t>86</w:t>
            </w:r>
          </w:p>
        </w:tc>
        <w:tc>
          <w:tcPr>
            <w:tcW w:w="927" w:type="dxa"/>
            <w:tcBorders>
              <w:top w:val="nil"/>
              <w:left w:val="nil"/>
              <w:bottom w:val="single" w:sz="4" w:space="0" w:color="auto"/>
              <w:right w:val="nil"/>
            </w:tcBorders>
            <w:shd w:val="clear" w:color="auto" w:fill="auto"/>
            <w:noWrap/>
            <w:vAlign w:val="bottom"/>
            <w:hideMark/>
          </w:tcPr>
          <w:p w14:paraId="34D643D3"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22" w:type="dxa"/>
            <w:tcBorders>
              <w:top w:val="nil"/>
              <w:left w:val="nil"/>
              <w:bottom w:val="single" w:sz="4" w:space="0" w:color="auto"/>
              <w:right w:val="nil"/>
            </w:tcBorders>
            <w:shd w:val="clear" w:color="auto" w:fill="auto"/>
            <w:noWrap/>
            <w:vAlign w:val="bottom"/>
            <w:hideMark/>
          </w:tcPr>
          <w:p w14:paraId="1AF4CB99" w14:textId="77777777" w:rsidR="005D324B" w:rsidRPr="005D324B" w:rsidRDefault="005D324B" w:rsidP="005D324B">
            <w:pPr>
              <w:jc w:val="center"/>
              <w:rPr>
                <w:rFonts w:cs="Calibri"/>
                <w:color w:val="000000"/>
                <w:sz w:val="20"/>
              </w:rPr>
            </w:pPr>
            <w:r w:rsidRPr="005D324B">
              <w:rPr>
                <w:rFonts w:cs="Calibri"/>
                <w:color w:val="000000"/>
                <w:sz w:val="20"/>
              </w:rPr>
              <w:t>-16%</w:t>
            </w:r>
          </w:p>
        </w:tc>
      </w:tr>
      <w:tr w:rsidR="005D324B" w:rsidRPr="005D324B" w14:paraId="1DAF3B67"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1BEFFA7E" w14:textId="77777777" w:rsidR="005D324B" w:rsidRPr="005D324B" w:rsidRDefault="005D324B" w:rsidP="005D324B">
            <w:pPr>
              <w:rPr>
                <w:rFonts w:cs="Calibri"/>
                <w:color w:val="000000"/>
                <w:sz w:val="20"/>
              </w:rPr>
            </w:pPr>
            <w:r w:rsidRPr="005D324B">
              <w:rPr>
                <w:rFonts w:cs="Calibri"/>
                <w:color w:val="000000"/>
                <w:sz w:val="20"/>
              </w:rPr>
              <w:t>Louisiana</w:t>
            </w:r>
          </w:p>
        </w:tc>
        <w:tc>
          <w:tcPr>
            <w:tcW w:w="1000" w:type="dxa"/>
            <w:tcBorders>
              <w:top w:val="nil"/>
              <w:left w:val="nil"/>
              <w:bottom w:val="single" w:sz="4" w:space="0" w:color="auto"/>
              <w:right w:val="nil"/>
            </w:tcBorders>
            <w:shd w:val="clear" w:color="auto" w:fill="auto"/>
            <w:noWrap/>
            <w:vAlign w:val="center"/>
            <w:hideMark/>
          </w:tcPr>
          <w:p w14:paraId="60696E84" w14:textId="77777777" w:rsidR="005D324B" w:rsidRPr="005D324B" w:rsidRDefault="005D324B" w:rsidP="005D324B">
            <w:pPr>
              <w:jc w:val="center"/>
              <w:rPr>
                <w:rFonts w:cs="Calibri"/>
                <w:color w:val="000000"/>
                <w:sz w:val="20"/>
              </w:rPr>
            </w:pPr>
            <w:r w:rsidRPr="005D324B">
              <w:rPr>
                <w:rFonts w:cs="Calibri"/>
                <w:color w:val="000000"/>
                <w:sz w:val="20"/>
              </w:rPr>
              <w:t>175</w:t>
            </w:r>
          </w:p>
        </w:tc>
        <w:tc>
          <w:tcPr>
            <w:tcW w:w="1000" w:type="dxa"/>
            <w:tcBorders>
              <w:top w:val="nil"/>
              <w:left w:val="nil"/>
              <w:bottom w:val="single" w:sz="4" w:space="0" w:color="auto"/>
              <w:right w:val="nil"/>
            </w:tcBorders>
            <w:shd w:val="clear" w:color="auto" w:fill="auto"/>
            <w:noWrap/>
            <w:vAlign w:val="center"/>
            <w:hideMark/>
          </w:tcPr>
          <w:p w14:paraId="47C1A761" w14:textId="77777777" w:rsidR="005D324B" w:rsidRPr="005D324B" w:rsidRDefault="005D324B" w:rsidP="005D324B">
            <w:pPr>
              <w:jc w:val="center"/>
              <w:rPr>
                <w:rFonts w:cs="Calibri"/>
                <w:color w:val="000000"/>
                <w:sz w:val="20"/>
              </w:rPr>
            </w:pPr>
            <w:r w:rsidRPr="005D324B">
              <w:rPr>
                <w:rFonts w:cs="Calibri"/>
                <w:color w:val="000000"/>
                <w:sz w:val="20"/>
              </w:rPr>
              <w:t>173</w:t>
            </w:r>
          </w:p>
        </w:tc>
        <w:tc>
          <w:tcPr>
            <w:tcW w:w="1000" w:type="dxa"/>
            <w:tcBorders>
              <w:top w:val="nil"/>
              <w:left w:val="nil"/>
              <w:bottom w:val="single" w:sz="4" w:space="0" w:color="auto"/>
              <w:right w:val="nil"/>
            </w:tcBorders>
            <w:shd w:val="clear" w:color="auto" w:fill="auto"/>
            <w:noWrap/>
            <w:vAlign w:val="center"/>
            <w:hideMark/>
          </w:tcPr>
          <w:p w14:paraId="6B3EFD84" w14:textId="77777777" w:rsidR="005D324B" w:rsidRPr="005D324B" w:rsidRDefault="005D324B" w:rsidP="005D324B">
            <w:pPr>
              <w:jc w:val="center"/>
              <w:rPr>
                <w:rFonts w:cs="Calibri"/>
                <w:color w:val="000000"/>
                <w:sz w:val="20"/>
              </w:rPr>
            </w:pPr>
            <w:r w:rsidRPr="005D324B">
              <w:rPr>
                <w:rFonts w:cs="Calibri"/>
                <w:color w:val="000000"/>
                <w:sz w:val="20"/>
              </w:rPr>
              <w:t>171</w:t>
            </w:r>
          </w:p>
        </w:tc>
        <w:tc>
          <w:tcPr>
            <w:tcW w:w="1000" w:type="dxa"/>
            <w:tcBorders>
              <w:top w:val="nil"/>
              <w:left w:val="nil"/>
              <w:bottom w:val="single" w:sz="4" w:space="0" w:color="auto"/>
              <w:right w:val="nil"/>
            </w:tcBorders>
            <w:shd w:val="clear" w:color="auto" w:fill="auto"/>
            <w:noWrap/>
            <w:vAlign w:val="center"/>
            <w:hideMark/>
          </w:tcPr>
          <w:p w14:paraId="6A90A384" w14:textId="77777777" w:rsidR="005D324B" w:rsidRPr="005D324B" w:rsidRDefault="005D324B" w:rsidP="005D324B">
            <w:pPr>
              <w:jc w:val="center"/>
              <w:rPr>
                <w:rFonts w:cs="Calibri"/>
                <w:color w:val="000000"/>
                <w:sz w:val="20"/>
              </w:rPr>
            </w:pPr>
            <w:r w:rsidRPr="005D324B">
              <w:rPr>
                <w:rFonts w:cs="Calibri"/>
                <w:color w:val="000000"/>
                <w:sz w:val="20"/>
              </w:rPr>
              <w:t>170</w:t>
            </w:r>
          </w:p>
        </w:tc>
        <w:tc>
          <w:tcPr>
            <w:tcW w:w="1000" w:type="dxa"/>
            <w:tcBorders>
              <w:top w:val="nil"/>
              <w:left w:val="nil"/>
              <w:bottom w:val="single" w:sz="4" w:space="0" w:color="auto"/>
              <w:right w:val="nil"/>
            </w:tcBorders>
            <w:shd w:val="clear" w:color="auto" w:fill="auto"/>
            <w:noWrap/>
            <w:vAlign w:val="center"/>
            <w:hideMark/>
          </w:tcPr>
          <w:p w14:paraId="49DDF4D1" w14:textId="77777777" w:rsidR="005D324B" w:rsidRPr="005D324B" w:rsidRDefault="005D324B" w:rsidP="005D324B">
            <w:pPr>
              <w:jc w:val="center"/>
              <w:rPr>
                <w:rFonts w:cs="Calibri"/>
                <w:color w:val="000000"/>
                <w:sz w:val="20"/>
              </w:rPr>
            </w:pPr>
            <w:r w:rsidRPr="005D324B">
              <w:rPr>
                <w:rFonts w:cs="Calibri"/>
                <w:color w:val="000000"/>
                <w:sz w:val="20"/>
              </w:rPr>
              <w:t>165</w:t>
            </w:r>
          </w:p>
        </w:tc>
        <w:tc>
          <w:tcPr>
            <w:tcW w:w="927" w:type="dxa"/>
            <w:tcBorders>
              <w:top w:val="nil"/>
              <w:left w:val="nil"/>
              <w:bottom w:val="single" w:sz="4" w:space="0" w:color="auto"/>
              <w:right w:val="nil"/>
            </w:tcBorders>
            <w:shd w:val="clear" w:color="auto" w:fill="auto"/>
            <w:noWrap/>
            <w:vAlign w:val="bottom"/>
            <w:hideMark/>
          </w:tcPr>
          <w:p w14:paraId="6305C50C" w14:textId="77777777" w:rsidR="005D324B" w:rsidRPr="005D324B" w:rsidRDefault="005D324B" w:rsidP="005D324B">
            <w:pPr>
              <w:jc w:val="center"/>
              <w:rPr>
                <w:rFonts w:cs="Calibri"/>
                <w:color w:val="000000"/>
                <w:sz w:val="20"/>
              </w:rPr>
            </w:pPr>
            <w:r w:rsidRPr="005D324B">
              <w:rPr>
                <w:rFonts w:cs="Calibri"/>
                <w:color w:val="000000"/>
                <w:sz w:val="20"/>
              </w:rPr>
              <w:t>-10</w:t>
            </w:r>
          </w:p>
        </w:tc>
        <w:tc>
          <w:tcPr>
            <w:tcW w:w="1022" w:type="dxa"/>
            <w:tcBorders>
              <w:top w:val="nil"/>
              <w:left w:val="nil"/>
              <w:bottom w:val="single" w:sz="4" w:space="0" w:color="auto"/>
              <w:right w:val="nil"/>
            </w:tcBorders>
            <w:shd w:val="clear" w:color="auto" w:fill="auto"/>
            <w:noWrap/>
            <w:vAlign w:val="bottom"/>
            <w:hideMark/>
          </w:tcPr>
          <w:p w14:paraId="6F65565E" w14:textId="77777777" w:rsidR="005D324B" w:rsidRPr="005D324B" w:rsidRDefault="005D324B" w:rsidP="005D324B">
            <w:pPr>
              <w:jc w:val="center"/>
              <w:rPr>
                <w:rFonts w:cs="Calibri"/>
                <w:color w:val="000000"/>
                <w:sz w:val="20"/>
              </w:rPr>
            </w:pPr>
            <w:r w:rsidRPr="005D324B">
              <w:rPr>
                <w:rFonts w:cs="Calibri"/>
                <w:color w:val="000000"/>
                <w:sz w:val="20"/>
              </w:rPr>
              <w:t>-6%</w:t>
            </w:r>
          </w:p>
        </w:tc>
      </w:tr>
      <w:tr w:rsidR="005D324B" w:rsidRPr="005D324B" w14:paraId="434B161C"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6869D95" w14:textId="77777777" w:rsidR="005D324B" w:rsidRPr="005D324B" w:rsidRDefault="005D324B" w:rsidP="005D324B">
            <w:pPr>
              <w:rPr>
                <w:rFonts w:cs="Calibri"/>
                <w:color w:val="000000"/>
                <w:sz w:val="20"/>
              </w:rPr>
            </w:pPr>
            <w:r w:rsidRPr="005D324B">
              <w:rPr>
                <w:rFonts w:cs="Calibri"/>
                <w:color w:val="000000"/>
                <w:sz w:val="20"/>
              </w:rPr>
              <w:t>Maine</w:t>
            </w:r>
          </w:p>
        </w:tc>
        <w:tc>
          <w:tcPr>
            <w:tcW w:w="1000" w:type="dxa"/>
            <w:tcBorders>
              <w:top w:val="nil"/>
              <w:left w:val="nil"/>
              <w:bottom w:val="single" w:sz="4" w:space="0" w:color="auto"/>
              <w:right w:val="nil"/>
            </w:tcBorders>
            <w:shd w:val="clear" w:color="auto" w:fill="auto"/>
            <w:noWrap/>
            <w:vAlign w:val="center"/>
            <w:hideMark/>
          </w:tcPr>
          <w:p w14:paraId="55583BB0"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00" w:type="dxa"/>
            <w:tcBorders>
              <w:top w:val="nil"/>
              <w:left w:val="nil"/>
              <w:bottom w:val="single" w:sz="4" w:space="0" w:color="auto"/>
              <w:right w:val="nil"/>
            </w:tcBorders>
            <w:shd w:val="clear" w:color="auto" w:fill="auto"/>
            <w:noWrap/>
            <w:vAlign w:val="center"/>
            <w:hideMark/>
          </w:tcPr>
          <w:p w14:paraId="34F6B19E"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7708DCB4" w14:textId="77777777" w:rsidR="005D324B" w:rsidRPr="005D324B" w:rsidRDefault="005D324B" w:rsidP="005D324B">
            <w:pPr>
              <w:jc w:val="center"/>
              <w:rPr>
                <w:rFonts w:cs="Calibri"/>
                <w:color w:val="000000"/>
                <w:sz w:val="20"/>
              </w:rPr>
            </w:pPr>
            <w:r w:rsidRPr="005D324B">
              <w:rPr>
                <w:rFonts w:cs="Calibri"/>
                <w:color w:val="000000"/>
                <w:sz w:val="20"/>
              </w:rPr>
              <w:t>28</w:t>
            </w:r>
          </w:p>
        </w:tc>
        <w:tc>
          <w:tcPr>
            <w:tcW w:w="1000" w:type="dxa"/>
            <w:tcBorders>
              <w:top w:val="nil"/>
              <w:left w:val="nil"/>
              <w:bottom w:val="single" w:sz="4" w:space="0" w:color="auto"/>
              <w:right w:val="nil"/>
            </w:tcBorders>
            <w:shd w:val="clear" w:color="auto" w:fill="auto"/>
            <w:noWrap/>
            <w:vAlign w:val="center"/>
            <w:hideMark/>
          </w:tcPr>
          <w:p w14:paraId="2A07CB38" w14:textId="77777777" w:rsidR="005D324B" w:rsidRPr="005D324B" w:rsidRDefault="005D324B" w:rsidP="005D324B">
            <w:pPr>
              <w:jc w:val="center"/>
              <w:rPr>
                <w:rFonts w:cs="Calibri"/>
                <w:color w:val="000000"/>
                <w:sz w:val="20"/>
              </w:rPr>
            </w:pPr>
            <w:r w:rsidRPr="005D324B">
              <w:rPr>
                <w:rFonts w:cs="Calibri"/>
                <w:color w:val="000000"/>
                <w:sz w:val="20"/>
              </w:rPr>
              <w:t>27</w:t>
            </w:r>
          </w:p>
        </w:tc>
        <w:tc>
          <w:tcPr>
            <w:tcW w:w="1000" w:type="dxa"/>
            <w:tcBorders>
              <w:top w:val="nil"/>
              <w:left w:val="nil"/>
              <w:bottom w:val="single" w:sz="4" w:space="0" w:color="auto"/>
              <w:right w:val="nil"/>
            </w:tcBorders>
            <w:shd w:val="clear" w:color="auto" w:fill="auto"/>
            <w:noWrap/>
            <w:vAlign w:val="center"/>
            <w:hideMark/>
          </w:tcPr>
          <w:p w14:paraId="080BF77E"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927" w:type="dxa"/>
            <w:tcBorders>
              <w:top w:val="nil"/>
              <w:left w:val="nil"/>
              <w:bottom w:val="single" w:sz="4" w:space="0" w:color="auto"/>
              <w:right w:val="nil"/>
            </w:tcBorders>
            <w:shd w:val="clear" w:color="auto" w:fill="auto"/>
            <w:noWrap/>
            <w:vAlign w:val="bottom"/>
            <w:hideMark/>
          </w:tcPr>
          <w:p w14:paraId="4E224F93" w14:textId="77777777" w:rsidR="005D324B" w:rsidRPr="005D324B" w:rsidRDefault="005D324B" w:rsidP="005D324B">
            <w:pPr>
              <w:jc w:val="center"/>
              <w:rPr>
                <w:rFonts w:cs="Calibri"/>
                <w:color w:val="000000"/>
                <w:sz w:val="20"/>
              </w:rPr>
            </w:pPr>
            <w:r w:rsidRPr="005D324B">
              <w:rPr>
                <w:rFonts w:cs="Calibri"/>
                <w:color w:val="000000"/>
                <w:sz w:val="20"/>
              </w:rPr>
              <w:t>1</w:t>
            </w:r>
          </w:p>
        </w:tc>
        <w:tc>
          <w:tcPr>
            <w:tcW w:w="1022" w:type="dxa"/>
            <w:tcBorders>
              <w:top w:val="nil"/>
              <w:left w:val="nil"/>
              <w:bottom w:val="single" w:sz="4" w:space="0" w:color="auto"/>
              <w:right w:val="nil"/>
            </w:tcBorders>
            <w:shd w:val="clear" w:color="auto" w:fill="auto"/>
            <w:noWrap/>
            <w:vAlign w:val="bottom"/>
            <w:hideMark/>
          </w:tcPr>
          <w:p w14:paraId="15539A17" w14:textId="77777777" w:rsidR="005D324B" w:rsidRPr="005D324B" w:rsidRDefault="005D324B" w:rsidP="005D324B">
            <w:pPr>
              <w:jc w:val="center"/>
              <w:rPr>
                <w:rFonts w:cs="Calibri"/>
                <w:color w:val="000000"/>
                <w:sz w:val="20"/>
              </w:rPr>
            </w:pPr>
            <w:r w:rsidRPr="005D324B">
              <w:rPr>
                <w:rFonts w:cs="Calibri"/>
                <w:color w:val="000000"/>
                <w:sz w:val="20"/>
              </w:rPr>
              <w:t>4%</w:t>
            </w:r>
          </w:p>
        </w:tc>
      </w:tr>
      <w:tr w:rsidR="005D324B" w:rsidRPr="005D324B" w14:paraId="3A1710BF"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29BFB07" w14:textId="77777777" w:rsidR="005D324B" w:rsidRPr="005D324B" w:rsidRDefault="005D324B" w:rsidP="005D324B">
            <w:pPr>
              <w:rPr>
                <w:rFonts w:cs="Calibri"/>
                <w:color w:val="000000"/>
                <w:sz w:val="20"/>
              </w:rPr>
            </w:pPr>
            <w:r w:rsidRPr="005D324B">
              <w:rPr>
                <w:rFonts w:cs="Calibri"/>
                <w:color w:val="000000"/>
                <w:sz w:val="20"/>
              </w:rPr>
              <w:t>Maryland</w:t>
            </w:r>
          </w:p>
        </w:tc>
        <w:tc>
          <w:tcPr>
            <w:tcW w:w="1000" w:type="dxa"/>
            <w:tcBorders>
              <w:top w:val="nil"/>
              <w:left w:val="nil"/>
              <w:bottom w:val="single" w:sz="4" w:space="0" w:color="auto"/>
              <w:right w:val="nil"/>
            </w:tcBorders>
            <w:shd w:val="clear" w:color="auto" w:fill="auto"/>
            <w:noWrap/>
            <w:vAlign w:val="center"/>
            <w:hideMark/>
          </w:tcPr>
          <w:p w14:paraId="24FA00A1" w14:textId="77777777" w:rsidR="005D324B" w:rsidRPr="005D324B" w:rsidRDefault="005D324B" w:rsidP="005D324B">
            <w:pPr>
              <w:jc w:val="center"/>
              <w:rPr>
                <w:rFonts w:cs="Calibri"/>
                <w:color w:val="000000"/>
                <w:sz w:val="20"/>
              </w:rPr>
            </w:pPr>
            <w:r w:rsidRPr="005D324B">
              <w:rPr>
                <w:rFonts w:cs="Calibri"/>
                <w:color w:val="000000"/>
                <w:sz w:val="20"/>
              </w:rPr>
              <w:t>63</w:t>
            </w:r>
          </w:p>
        </w:tc>
        <w:tc>
          <w:tcPr>
            <w:tcW w:w="1000" w:type="dxa"/>
            <w:tcBorders>
              <w:top w:val="nil"/>
              <w:left w:val="nil"/>
              <w:bottom w:val="single" w:sz="4" w:space="0" w:color="auto"/>
              <w:right w:val="nil"/>
            </w:tcBorders>
            <w:shd w:val="clear" w:color="auto" w:fill="auto"/>
            <w:noWrap/>
            <w:vAlign w:val="center"/>
            <w:hideMark/>
          </w:tcPr>
          <w:p w14:paraId="25F6E619" w14:textId="77777777" w:rsidR="005D324B" w:rsidRPr="005D324B" w:rsidRDefault="005D324B" w:rsidP="005D324B">
            <w:pPr>
              <w:jc w:val="center"/>
              <w:rPr>
                <w:rFonts w:cs="Calibri"/>
                <w:color w:val="000000"/>
                <w:sz w:val="20"/>
              </w:rPr>
            </w:pPr>
            <w:r w:rsidRPr="005D324B">
              <w:rPr>
                <w:rFonts w:cs="Calibri"/>
                <w:color w:val="000000"/>
                <w:sz w:val="20"/>
              </w:rPr>
              <w:t>64</w:t>
            </w:r>
          </w:p>
        </w:tc>
        <w:tc>
          <w:tcPr>
            <w:tcW w:w="1000" w:type="dxa"/>
            <w:tcBorders>
              <w:top w:val="nil"/>
              <w:left w:val="nil"/>
              <w:bottom w:val="single" w:sz="4" w:space="0" w:color="auto"/>
              <w:right w:val="nil"/>
            </w:tcBorders>
            <w:shd w:val="clear" w:color="auto" w:fill="auto"/>
            <w:noWrap/>
            <w:vAlign w:val="center"/>
            <w:hideMark/>
          </w:tcPr>
          <w:p w14:paraId="0BE61D1C" w14:textId="77777777" w:rsidR="005D324B" w:rsidRPr="005D324B" w:rsidRDefault="005D324B" w:rsidP="005D324B">
            <w:pPr>
              <w:jc w:val="center"/>
              <w:rPr>
                <w:rFonts w:cs="Calibri"/>
                <w:color w:val="000000"/>
                <w:sz w:val="20"/>
              </w:rPr>
            </w:pPr>
            <w:r w:rsidRPr="005D324B">
              <w:rPr>
                <w:rFonts w:cs="Calibri"/>
                <w:color w:val="000000"/>
                <w:sz w:val="20"/>
              </w:rPr>
              <w:t>62</w:t>
            </w:r>
          </w:p>
        </w:tc>
        <w:tc>
          <w:tcPr>
            <w:tcW w:w="1000" w:type="dxa"/>
            <w:tcBorders>
              <w:top w:val="nil"/>
              <w:left w:val="nil"/>
              <w:bottom w:val="single" w:sz="4" w:space="0" w:color="auto"/>
              <w:right w:val="nil"/>
            </w:tcBorders>
            <w:shd w:val="clear" w:color="auto" w:fill="auto"/>
            <w:noWrap/>
            <w:vAlign w:val="center"/>
            <w:hideMark/>
          </w:tcPr>
          <w:p w14:paraId="15F76E5A" w14:textId="77777777" w:rsidR="005D324B" w:rsidRPr="005D324B" w:rsidRDefault="005D324B" w:rsidP="005D324B">
            <w:pPr>
              <w:jc w:val="center"/>
              <w:rPr>
                <w:rFonts w:cs="Calibri"/>
                <w:color w:val="000000"/>
                <w:sz w:val="20"/>
              </w:rPr>
            </w:pPr>
            <w:r w:rsidRPr="005D324B">
              <w:rPr>
                <w:rFonts w:cs="Calibri"/>
                <w:color w:val="000000"/>
                <w:sz w:val="20"/>
              </w:rPr>
              <w:t>63</w:t>
            </w:r>
          </w:p>
        </w:tc>
        <w:tc>
          <w:tcPr>
            <w:tcW w:w="1000" w:type="dxa"/>
            <w:tcBorders>
              <w:top w:val="nil"/>
              <w:left w:val="nil"/>
              <w:bottom w:val="single" w:sz="4" w:space="0" w:color="auto"/>
              <w:right w:val="nil"/>
            </w:tcBorders>
            <w:shd w:val="clear" w:color="auto" w:fill="auto"/>
            <w:noWrap/>
            <w:vAlign w:val="center"/>
            <w:hideMark/>
          </w:tcPr>
          <w:p w14:paraId="5051287E" w14:textId="77777777" w:rsidR="005D324B" w:rsidRPr="005D324B" w:rsidRDefault="005D324B" w:rsidP="005D324B">
            <w:pPr>
              <w:jc w:val="center"/>
              <w:rPr>
                <w:rFonts w:cs="Calibri"/>
                <w:color w:val="000000"/>
                <w:sz w:val="20"/>
              </w:rPr>
            </w:pPr>
            <w:r w:rsidRPr="005D324B">
              <w:rPr>
                <w:rFonts w:cs="Calibri"/>
                <w:color w:val="000000"/>
                <w:sz w:val="20"/>
              </w:rPr>
              <w:t>61</w:t>
            </w:r>
          </w:p>
        </w:tc>
        <w:tc>
          <w:tcPr>
            <w:tcW w:w="927" w:type="dxa"/>
            <w:tcBorders>
              <w:top w:val="nil"/>
              <w:left w:val="nil"/>
              <w:bottom w:val="single" w:sz="4" w:space="0" w:color="auto"/>
              <w:right w:val="nil"/>
            </w:tcBorders>
            <w:shd w:val="clear" w:color="auto" w:fill="auto"/>
            <w:noWrap/>
            <w:vAlign w:val="bottom"/>
            <w:hideMark/>
          </w:tcPr>
          <w:p w14:paraId="548B53A5" w14:textId="77777777" w:rsidR="005D324B" w:rsidRPr="005D324B" w:rsidRDefault="005D324B" w:rsidP="005D324B">
            <w:pPr>
              <w:jc w:val="center"/>
              <w:rPr>
                <w:rFonts w:cs="Calibri"/>
                <w:color w:val="000000"/>
                <w:sz w:val="20"/>
              </w:rPr>
            </w:pPr>
            <w:r w:rsidRPr="005D324B">
              <w:rPr>
                <w:rFonts w:cs="Calibri"/>
                <w:color w:val="000000"/>
                <w:sz w:val="20"/>
              </w:rPr>
              <w:t>-2</w:t>
            </w:r>
          </w:p>
        </w:tc>
        <w:tc>
          <w:tcPr>
            <w:tcW w:w="1022" w:type="dxa"/>
            <w:tcBorders>
              <w:top w:val="nil"/>
              <w:left w:val="nil"/>
              <w:bottom w:val="single" w:sz="4" w:space="0" w:color="auto"/>
              <w:right w:val="nil"/>
            </w:tcBorders>
            <w:shd w:val="clear" w:color="auto" w:fill="auto"/>
            <w:noWrap/>
            <w:vAlign w:val="bottom"/>
            <w:hideMark/>
          </w:tcPr>
          <w:p w14:paraId="0014D409" w14:textId="77777777" w:rsidR="005D324B" w:rsidRPr="005D324B" w:rsidRDefault="005D324B" w:rsidP="005D324B">
            <w:pPr>
              <w:jc w:val="center"/>
              <w:rPr>
                <w:rFonts w:cs="Calibri"/>
                <w:color w:val="000000"/>
                <w:sz w:val="20"/>
              </w:rPr>
            </w:pPr>
            <w:r w:rsidRPr="005D324B">
              <w:rPr>
                <w:rFonts w:cs="Calibri"/>
                <w:color w:val="000000"/>
                <w:sz w:val="20"/>
              </w:rPr>
              <w:t>-3%</w:t>
            </w:r>
          </w:p>
        </w:tc>
      </w:tr>
      <w:tr w:rsidR="005D324B" w:rsidRPr="005D324B" w14:paraId="68ECD9F1"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1EA4110" w14:textId="77777777" w:rsidR="005D324B" w:rsidRPr="005D324B" w:rsidRDefault="005D324B" w:rsidP="005D324B">
            <w:pPr>
              <w:rPr>
                <w:rFonts w:cs="Calibri"/>
                <w:color w:val="000000"/>
                <w:sz w:val="20"/>
              </w:rPr>
            </w:pPr>
            <w:r w:rsidRPr="005D324B">
              <w:rPr>
                <w:rFonts w:cs="Calibri"/>
                <w:color w:val="000000"/>
                <w:sz w:val="20"/>
              </w:rPr>
              <w:t>Massachusetts</w:t>
            </w:r>
          </w:p>
        </w:tc>
        <w:tc>
          <w:tcPr>
            <w:tcW w:w="1000" w:type="dxa"/>
            <w:tcBorders>
              <w:top w:val="nil"/>
              <w:left w:val="nil"/>
              <w:bottom w:val="single" w:sz="4" w:space="0" w:color="auto"/>
              <w:right w:val="nil"/>
            </w:tcBorders>
            <w:shd w:val="clear" w:color="auto" w:fill="auto"/>
            <w:noWrap/>
            <w:vAlign w:val="center"/>
            <w:hideMark/>
          </w:tcPr>
          <w:p w14:paraId="32CEC37A" w14:textId="77777777" w:rsidR="005D324B" w:rsidRPr="005D324B" w:rsidRDefault="005D324B" w:rsidP="005D324B">
            <w:pPr>
              <w:jc w:val="center"/>
              <w:rPr>
                <w:rFonts w:cs="Calibri"/>
                <w:color w:val="000000"/>
                <w:sz w:val="20"/>
              </w:rPr>
            </w:pPr>
            <w:r w:rsidRPr="005D324B">
              <w:rPr>
                <w:rFonts w:cs="Calibri"/>
                <w:color w:val="000000"/>
                <w:sz w:val="20"/>
              </w:rPr>
              <w:t>147</w:t>
            </w:r>
          </w:p>
        </w:tc>
        <w:tc>
          <w:tcPr>
            <w:tcW w:w="1000" w:type="dxa"/>
            <w:tcBorders>
              <w:top w:val="nil"/>
              <w:left w:val="nil"/>
              <w:bottom w:val="single" w:sz="4" w:space="0" w:color="auto"/>
              <w:right w:val="nil"/>
            </w:tcBorders>
            <w:shd w:val="clear" w:color="auto" w:fill="auto"/>
            <w:noWrap/>
            <w:vAlign w:val="center"/>
            <w:hideMark/>
          </w:tcPr>
          <w:p w14:paraId="412DEFCB" w14:textId="77777777" w:rsidR="005D324B" w:rsidRPr="005D324B" w:rsidRDefault="005D324B" w:rsidP="005D324B">
            <w:pPr>
              <w:jc w:val="center"/>
              <w:rPr>
                <w:rFonts w:cs="Calibri"/>
                <w:color w:val="000000"/>
                <w:sz w:val="20"/>
              </w:rPr>
            </w:pPr>
            <w:r w:rsidRPr="005D324B">
              <w:rPr>
                <w:rFonts w:cs="Calibri"/>
                <w:color w:val="000000"/>
                <w:sz w:val="20"/>
              </w:rPr>
              <w:t>137</w:t>
            </w:r>
          </w:p>
        </w:tc>
        <w:tc>
          <w:tcPr>
            <w:tcW w:w="1000" w:type="dxa"/>
            <w:tcBorders>
              <w:top w:val="nil"/>
              <w:left w:val="nil"/>
              <w:bottom w:val="single" w:sz="4" w:space="0" w:color="auto"/>
              <w:right w:val="nil"/>
            </w:tcBorders>
            <w:shd w:val="clear" w:color="auto" w:fill="auto"/>
            <w:noWrap/>
            <w:vAlign w:val="center"/>
            <w:hideMark/>
          </w:tcPr>
          <w:p w14:paraId="1A551BBC" w14:textId="77777777" w:rsidR="005D324B" w:rsidRPr="005D324B" w:rsidRDefault="005D324B" w:rsidP="005D324B">
            <w:pPr>
              <w:jc w:val="center"/>
              <w:rPr>
                <w:rFonts w:cs="Calibri"/>
                <w:color w:val="000000"/>
                <w:sz w:val="20"/>
              </w:rPr>
            </w:pPr>
            <w:r w:rsidRPr="005D324B">
              <w:rPr>
                <w:rFonts w:cs="Calibri"/>
                <w:color w:val="000000"/>
                <w:sz w:val="20"/>
              </w:rPr>
              <w:t>142</w:t>
            </w:r>
          </w:p>
        </w:tc>
        <w:tc>
          <w:tcPr>
            <w:tcW w:w="1000" w:type="dxa"/>
            <w:tcBorders>
              <w:top w:val="nil"/>
              <w:left w:val="nil"/>
              <w:bottom w:val="single" w:sz="4" w:space="0" w:color="auto"/>
              <w:right w:val="nil"/>
            </w:tcBorders>
            <w:shd w:val="clear" w:color="auto" w:fill="auto"/>
            <w:noWrap/>
            <w:vAlign w:val="center"/>
            <w:hideMark/>
          </w:tcPr>
          <w:p w14:paraId="4E15BEBB" w14:textId="77777777" w:rsidR="005D324B" w:rsidRPr="005D324B" w:rsidRDefault="005D324B" w:rsidP="005D324B">
            <w:pPr>
              <w:jc w:val="center"/>
              <w:rPr>
                <w:rFonts w:cs="Calibri"/>
                <w:color w:val="000000"/>
                <w:sz w:val="20"/>
              </w:rPr>
            </w:pPr>
            <w:r w:rsidRPr="005D324B">
              <w:rPr>
                <w:rFonts w:cs="Calibri"/>
                <w:color w:val="000000"/>
                <w:sz w:val="20"/>
              </w:rPr>
              <w:t>130</w:t>
            </w:r>
          </w:p>
        </w:tc>
        <w:tc>
          <w:tcPr>
            <w:tcW w:w="1000" w:type="dxa"/>
            <w:tcBorders>
              <w:top w:val="nil"/>
              <w:left w:val="nil"/>
              <w:bottom w:val="single" w:sz="4" w:space="0" w:color="auto"/>
              <w:right w:val="nil"/>
            </w:tcBorders>
            <w:shd w:val="clear" w:color="auto" w:fill="auto"/>
            <w:noWrap/>
            <w:vAlign w:val="center"/>
            <w:hideMark/>
          </w:tcPr>
          <w:p w14:paraId="3342F80E" w14:textId="77777777" w:rsidR="005D324B" w:rsidRPr="005D324B" w:rsidRDefault="005D324B" w:rsidP="005D324B">
            <w:pPr>
              <w:jc w:val="center"/>
              <w:rPr>
                <w:rFonts w:cs="Calibri"/>
                <w:color w:val="000000"/>
                <w:sz w:val="20"/>
              </w:rPr>
            </w:pPr>
            <w:r w:rsidRPr="005D324B">
              <w:rPr>
                <w:rFonts w:cs="Calibri"/>
                <w:color w:val="000000"/>
                <w:sz w:val="20"/>
              </w:rPr>
              <w:t>114</w:t>
            </w:r>
          </w:p>
        </w:tc>
        <w:tc>
          <w:tcPr>
            <w:tcW w:w="927" w:type="dxa"/>
            <w:tcBorders>
              <w:top w:val="nil"/>
              <w:left w:val="nil"/>
              <w:bottom w:val="single" w:sz="4" w:space="0" w:color="auto"/>
              <w:right w:val="nil"/>
            </w:tcBorders>
            <w:shd w:val="clear" w:color="auto" w:fill="auto"/>
            <w:noWrap/>
            <w:vAlign w:val="bottom"/>
            <w:hideMark/>
          </w:tcPr>
          <w:p w14:paraId="2B330F0C" w14:textId="77777777" w:rsidR="005D324B" w:rsidRPr="005D324B" w:rsidRDefault="005D324B" w:rsidP="005D324B">
            <w:pPr>
              <w:jc w:val="center"/>
              <w:rPr>
                <w:rFonts w:cs="Calibri"/>
                <w:color w:val="000000"/>
                <w:sz w:val="20"/>
              </w:rPr>
            </w:pPr>
            <w:r w:rsidRPr="005D324B">
              <w:rPr>
                <w:rFonts w:cs="Calibri"/>
                <w:color w:val="000000"/>
                <w:sz w:val="20"/>
              </w:rPr>
              <w:t>-33</w:t>
            </w:r>
          </w:p>
        </w:tc>
        <w:tc>
          <w:tcPr>
            <w:tcW w:w="1022" w:type="dxa"/>
            <w:tcBorders>
              <w:top w:val="nil"/>
              <w:left w:val="nil"/>
              <w:bottom w:val="single" w:sz="4" w:space="0" w:color="auto"/>
              <w:right w:val="nil"/>
            </w:tcBorders>
            <w:shd w:val="clear" w:color="auto" w:fill="auto"/>
            <w:noWrap/>
            <w:vAlign w:val="bottom"/>
            <w:hideMark/>
          </w:tcPr>
          <w:p w14:paraId="60D510A8" w14:textId="77777777" w:rsidR="005D324B" w:rsidRPr="005D324B" w:rsidRDefault="005D324B" w:rsidP="005D324B">
            <w:pPr>
              <w:jc w:val="center"/>
              <w:rPr>
                <w:rFonts w:cs="Calibri"/>
                <w:color w:val="000000"/>
                <w:sz w:val="20"/>
              </w:rPr>
            </w:pPr>
            <w:r w:rsidRPr="005D324B">
              <w:rPr>
                <w:rFonts w:cs="Calibri"/>
                <w:color w:val="000000"/>
                <w:sz w:val="20"/>
              </w:rPr>
              <w:t>-22%</w:t>
            </w:r>
          </w:p>
        </w:tc>
      </w:tr>
      <w:tr w:rsidR="005D324B" w:rsidRPr="005D324B" w14:paraId="5160670E"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171D561" w14:textId="77777777" w:rsidR="005D324B" w:rsidRPr="005D324B" w:rsidRDefault="005D324B" w:rsidP="005D324B">
            <w:pPr>
              <w:rPr>
                <w:rFonts w:cs="Calibri"/>
                <w:color w:val="000000"/>
                <w:sz w:val="20"/>
              </w:rPr>
            </w:pPr>
            <w:r w:rsidRPr="005D324B">
              <w:rPr>
                <w:rFonts w:cs="Calibri"/>
                <w:color w:val="000000"/>
                <w:sz w:val="20"/>
              </w:rPr>
              <w:t>Michigan</w:t>
            </w:r>
          </w:p>
        </w:tc>
        <w:tc>
          <w:tcPr>
            <w:tcW w:w="1000" w:type="dxa"/>
            <w:tcBorders>
              <w:top w:val="nil"/>
              <w:left w:val="nil"/>
              <w:bottom w:val="single" w:sz="4" w:space="0" w:color="auto"/>
              <w:right w:val="nil"/>
            </w:tcBorders>
            <w:shd w:val="clear" w:color="auto" w:fill="auto"/>
            <w:noWrap/>
            <w:vAlign w:val="center"/>
            <w:hideMark/>
          </w:tcPr>
          <w:p w14:paraId="6713DA7B" w14:textId="77777777" w:rsidR="005D324B" w:rsidRPr="005D324B" w:rsidRDefault="005D324B" w:rsidP="005D324B">
            <w:pPr>
              <w:jc w:val="center"/>
              <w:rPr>
                <w:rFonts w:cs="Calibri"/>
                <w:color w:val="000000"/>
                <w:sz w:val="20"/>
              </w:rPr>
            </w:pPr>
            <w:r w:rsidRPr="005D324B">
              <w:rPr>
                <w:rFonts w:cs="Calibri"/>
                <w:color w:val="000000"/>
                <w:sz w:val="20"/>
              </w:rPr>
              <w:t>398</w:t>
            </w:r>
          </w:p>
        </w:tc>
        <w:tc>
          <w:tcPr>
            <w:tcW w:w="1000" w:type="dxa"/>
            <w:tcBorders>
              <w:top w:val="nil"/>
              <w:left w:val="nil"/>
              <w:bottom w:val="single" w:sz="4" w:space="0" w:color="auto"/>
              <w:right w:val="nil"/>
            </w:tcBorders>
            <w:shd w:val="clear" w:color="auto" w:fill="auto"/>
            <w:noWrap/>
            <w:vAlign w:val="center"/>
            <w:hideMark/>
          </w:tcPr>
          <w:p w14:paraId="7FB17E44" w14:textId="77777777" w:rsidR="005D324B" w:rsidRPr="005D324B" w:rsidRDefault="005D324B" w:rsidP="005D324B">
            <w:pPr>
              <w:jc w:val="center"/>
              <w:rPr>
                <w:rFonts w:cs="Calibri"/>
                <w:color w:val="000000"/>
                <w:sz w:val="20"/>
              </w:rPr>
            </w:pPr>
            <w:r w:rsidRPr="005D324B">
              <w:rPr>
                <w:rFonts w:cs="Calibri"/>
                <w:color w:val="000000"/>
                <w:sz w:val="20"/>
              </w:rPr>
              <w:t>353</w:t>
            </w:r>
          </w:p>
        </w:tc>
        <w:tc>
          <w:tcPr>
            <w:tcW w:w="1000" w:type="dxa"/>
            <w:tcBorders>
              <w:top w:val="nil"/>
              <w:left w:val="nil"/>
              <w:bottom w:val="single" w:sz="4" w:space="0" w:color="auto"/>
              <w:right w:val="nil"/>
            </w:tcBorders>
            <w:shd w:val="clear" w:color="auto" w:fill="auto"/>
            <w:noWrap/>
            <w:vAlign w:val="center"/>
            <w:hideMark/>
          </w:tcPr>
          <w:p w14:paraId="5745F1E2" w14:textId="77777777" w:rsidR="005D324B" w:rsidRPr="005D324B" w:rsidRDefault="005D324B" w:rsidP="005D324B">
            <w:pPr>
              <w:jc w:val="center"/>
              <w:rPr>
                <w:rFonts w:cs="Calibri"/>
                <w:color w:val="000000"/>
                <w:sz w:val="20"/>
              </w:rPr>
            </w:pPr>
            <w:r w:rsidRPr="005D324B">
              <w:rPr>
                <w:rFonts w:cs="Calibri"/>
                <w:color w:val="000000"/>
                <w:sz w:val="20"/>
              </w:rPr>
              <w:t>340</w:t>
            </w:r>
          </w:p>
        </w:tc>
        <w:tc>
          <w:tcPr>
            <w:tcW w:w="1000" w:type="dxa"/>
            <w:tcBorders>
              <w:top w:val="nil"/>
              <w:left w:val="nil"/>
              <w:bottom w:val="single" w:sz="4" w:space="0" w:color="auto"/>
              <w:right w:val="nil"/>
            </w:tcBorders>
            <w:shd w:val="clear" w:color="auto" w:fill="auto"/>
            <w:noWrap/>
            <w:vAlign w:val="center"/>
            <w:hideMark/>
          </w:tcPr>
          <w:p w14:paraId="315D5C9F" w14:textId="77777777" w:rsidR="005D324B" w:rsidRPr="005D324B" w:rsidRDefault="005D324B" w:rsidP="005D324B">
            <w:pPr>
              <w:jc w:val="center"/>
              <w:rPr>
                <w:rFonts w:cs="Calibri"/>
                <w:color w:val="000000"/>
                <w:sz w:val="20"/>
              </w:rPr>
            </w:pPr>
            <w:r w:rsidRPr="005D324B">
              <w:rPr>
                <w:rFonts w:cs="Calibri"/>
                <w:color w:val="000000"/>
                <w:sz w:val="20"/>
              </w:rPr>
              <w:t>311</w:t>
            </w:r>
          </w:p>
        </w:tc>
        <w:tc>
          <w:tcPr>
            <w:tcW w:w="1000" w:type="dxa"/>
            <w:tcBorders>
              <w:top w:val="nil"/>
              <w:left w:val="nil"/>
              <w:bottom w:val="single" w:sz="4" w:space="0" w:color="auto"/>
              <w:right w:val="nil"/>
            </w:tcBorders>
            <w:shd w:val="clear" w:color="auto" w:fill="auto"/>
            <w:noWrap/>
            <w:vAlign w:val="center"/>
            <w:hideMark/>
          </w:tcPr>
          <w:p w14:paraId="65B6FA5B" w14:textId="77777777" w:rsidR="005D324B" w:rsidRPr="005D324B" w:rsidRDefault="005D324B" w:rsidP="005D324B">
            <w:pPr>
              <w:jc w:val="center"/>
              <w:rPr>
                <w:rFonts w:cs="Calibri"/>
                <w:color w:val="000000"/>
                <w:sz w:val="20"/>
              </w:rPr>
            </w:pPr>
            <w:r w:rsidRPr="005D324B">
              <w:rPr>
                <w:rFonts w:cs="Calibri"/>
                <w:color w:val="000000"/>
                <w:sz w:val="20"/>
              </w:rPr>
              <w:t>279</w:t>
            </w:r>
          </w:p>
        </w:tc>
        <w:tc>
          <w:tcPr>
            <w:tcW w:w="927" w:type="dxa"/>
            <w:tcBorders>
              <w:top w:val="nil"/>
              <w:left w:val="nil"/>
              <w:bottom w:val="single" w:sz="4" w:space="0" w:color="auto"/>
              <w:right w:val="nil"/>
            </w:tcBorders>
            <w:shd w:val="clear" w:color="auto" w:fill="auto"/>
            <w:noWrap/>
            <w:vAlign w:val="bottom"/>
            <w:hideMark/>
          </w:tcPr>
          <w:p w14:paraId="37AF508C" w14:textId="77777777" w:rsidR="005D324B" w:rsidRPr="005D324B" w:rsidRDefault="005D324B" w:rsidP="005D324B">
            <w:pPr>
              <w:jc w:val="center"/>
              <w:rPr>
                <w:rFonts w:cs="Calibri"/>
                <w:color w:val="000000"/>
                <w:sz w:val="20"/>
              </w:rPr>
            </w:pPr>
            <w:r w:rsidRPr="005D324B">
              <w:rPr>
                <w:rFonts w:cs="Calibri"/>
                <w:color w:val="000000"/>
                <w:sz w:val="20"/>
              </w:rPr>
              <w:t>-119</w:t>
            </w:r>
          </w:p>
        </w:tc>
        <w:tc>
          <w:tcPr>
            <w:tcW w:w="1022" w:type="dxa"/>
            <w:tcBorders>
              <w:top w:val="nil"/>
              <w:left w:val="nil"/>
              <w:bottom w:val="single" w:sz="4" w:space="0" w:color="auto"/>
              <w:right w:val="nil"/>
            </w:tcBorders>
            <w:shd w:val="clear" w:color="auto" w:fill="auto"/>
            <w:noWrap/>
            <w:vAlign w:val="bottom"/>
            <w:hideMark/>
          </w:tcPr>
          <w:p w14:paraId="5BB1DC61" w14:textId="77777777" w:rsidR="005D324B" w:rsidRPr="005D324B" w:rsidRDefault="005D324B" w:rsidP="005D324B">
            <w:pPr>
              <w:jc w:val="center"/>
              <w:rPr>
                <w:rFonts w:cs="Calibri"/>
                <w:color w:val="000000"/>
                <w:sz w:val="20"/>
              </w:rPr>
            </w:pPr>
            <w:r w:rsidRPr="005D324B">
              <w:rPr>
                <w:rFonts w:cs="Calibri"/>
                <w:color w:val="000000"/>
                <w:sz w:val="20"/>
              </w:rPr>
              <w:t>-30%</w:t>
            </w:r>
          </w:p>
        </w:tc>
      </w:tr>
      <w:tr w:rsidR="005D324B" w:rsidRPr="005D324B" w14:paraId="0FC929BB"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A5E5A8D" w14:textId="77777777" w:rsidR="005D324B" w:rsidRPr="005D324B" w:rsidRDefault="005D324B" w:rsidP="005D324B">
            <w:pPr>
              <w:rPr>
                <w:rFonts w:cs="Calibri"/>
                <w:color w:val="000000"/>
                <w:sz w:val="20"/>
              </w:rPr>
            </w:pPr>
            <w:r w:rsidRPr="005D324B">
              <w:rPr>
                <w:rFonts w:cs="Calibri"/>
                <w:color w:val="000000"/>
                <w:sz w:val="20"/>
              </w:rPr>
              <w:t>Minnesota</w:t>
            </w:r>
          </w:p>
        </w:tc>
        <w:tc>
          <w:tcPr>
            <w:tcW w:w="1000" w:type="dxa"/>
            <w:tcBorders>
              <w:top w:val="nil"/>
              <w:left w:val="nil"/>
              <w:bottom w:val="single" w:sz="4" w:space="0" w:color="auto"/>
              <w:right w:val="nil"/>
            </w:tcBorders>
            <w:shd w:val="clear" w:color="auto" w:fill="auto"/>
            <w:noWrap/>
            <w:vAlign w:val="center"/>
            <w:hideMark/>
          </w:tcPr>
          <w:p w14:paraId="10C4C498" w14:textId="77777777" w:rsidR="005D324B" w:rsidRPr="005D324B" w:rsidRDefault="005D324B" w:rsidP="005D324B">
            <w:pPr>
              <w:jc w:val="center"/>
              <w:rPr>
                <w:rFonts w:cs="Calibri"/>
                <w:color w:val="000000"/>
                <w:sz w:val="20"/>
              </w:rPr>
            </w:pPr>
            <w:r w:rsidRPr="005D324B">
              <w:rPr>
                <w:rFonts w:cs="Calibri"/>
                <w:color w:val="000000"/>
                <w:sz w:val="20"/>
              </w:rPr>
              <w:t>111</w:t>
            </w:r>
          </w:p>
        </w:tc>
        <w:tc>
          <w:tcPr>
            <w:tcW w:w="1000" w:type="dxa"/>
            <w:tcBorders>
              <w:top w:val="nil"/>
              <w:left w:val="nil"/>
              <w:bottom w:val="single" w:sz="4" w:space="0" w:color="auto"/>
              <w:right w:val="nil"/>
            </w:tcBorders>
            <w:shd w:val="clear" w:color="auto" w:fill="auto"/>
            <w:noWrap/>
            <w:vAlign w:val="center"/>
            <w:hideMark/>
          </w:tcPr>
          <w:p w14:paraId="67B6A7F3" w14:textId="77777777" w:rsidR="005D324B" w:rsidRPr="005D324B" w:rsidRDefault="005D324B" w:rsidP="005D324B">
            <w:pPr>
              <w:jc w:val="center"/>
              <w:rPr>
                <w:rFonts w:cs="Calibri"/>
                <w:color w:val="000000"/>
                <w:sz w:val="20"/>
              </w:rPr>
            </w:pPr>
            <w:r w:rsidRPr="005D324B">
              <w:rPr>
                <w:rFonts w:cs="Calibri"/>
                <w:color w:val="000000"/>
                <w:sz w:val="20"/>
              </w:rPr>
              <w:t>111</w:t>
            </w:r>
          </w:p>
        </w:tc>
        <w:tc>
          <w:tcPr>
            <w:tcW w:w="1000" w:type="dxa"/>
            <w:tcBorders>
              <w:top w:val="nil"/>
              <w:left w:val="nil"/>
              <w:bottom w:val="single" w:sz="4" w:space="0" w:color="auto"/>
              <w:right w:val="nil"/>
            </w:tcBorders>
            <w:shd w:val="clear" w:color="auto" w:fill="auto"/>
            <w:noWrap/>
            <w:vAlign w:val="center"/>
            <w:hideMark/>
          </w:tcPr>
          <w:p w14:paraId="6555FFF9" w14:textId="77777777" w:rsidR="005D324B" w:rsidRPr="005D324B" w:rsidRDefault="005D324B" w:rsidP="005D324B">
            <w:pPr>
              <w:jc w:val="center"/>
              <w:rPr>
                <w:rFonts w:cs="Calibri"/>
                <w:color w:val="000000"/>
                <w:sz w:val="20"/>
              </w:rPr>
            </w:pPr>
            <w:r w:rsidRPr="005D324B">
              <w:rPr>
                <w:rFonts w:cs="Calibri"/>
                <w:color w:val="000000"/>
                <w:sz w:val="20"/>
              </w:rPr>
              <w:t>107</w:t>
            </w:r>
          </w:p>
        </w:tc>
        <w:tc>
          <w:tcPr>
            <w:tcW w:w="1000" w:type="dxa"/>
            <w:tcBorders>
              <w:top w:val="nil"/>
              <w:left w:val="nil"/>
              <w:bottom w:val="single" w:sz="4" w:space="0" w:color="auto"/>
              <w:right w:val="nil"/>
            </w:tcBorders>
            <w:shd w:val="clear" w:color="auto" w:fill="auto"/>
            <w:noWrap/>
            <w:vAlign w:val="center"/>
            <w:hideMark/>
          </w:tcPr>
          <w:p w14:paraId="2F49E679" w14:textId="77777777" w:rsidR="005D324B" w:rsidRPr="005D324B" w:rsidRDefault="005D324B" w:rsidP="005D324B">
            <w:pPr>
              <w:jc w:val="center"/>
              <w:rPr>
                <w:rFonts w:cs="Calibri"/>
                <w:color w:val="000000"/>
                <w:sz w:val="20"/>
              </w:rPr>
            </w:pPr>
            <w:r w:rsidRPr="005D324B">
              <w:rPr>
                <w:rFonts w:cs="Calibri"/>
                <w:color w:val="000000"/>
                <w:sz w:val="20"/>
              </w:rPr>
              <w:t>94</w:t>
            </w:r>
          </w:p>
        </w:tc>
        <w:tc>
          <w:tcPr>
            <w:tcW w:w="1000" w:type="dxa"/>
            <w:tcBorders>
              <w:top w:val="nil"/>
              <w:left w:val="nil"/>
              <w:bottom w:val="single" w:sz="4" w:space="0" w:color="auto"/>
              <w:right w:val="nil"/>
            </w:tcBorders>
            <w:shd w:val="clear" w:color="auto" w:fill="auto"/>
            <w:noWrap/>
            <w:vAlign w:val="center"/>
            <w:hideMark/>
          </w:tcPr>
          <w:p w14:paraId="411B82D4" w14:textId="77777777" w:rsidR="005D324B" w:rsidRPr="005D324B" w:rsidRDefault="005D324B" w:rsidP="005D324B">
            <w:pPr>
              <w:jc w:val="center"/>
              <w:rPr>
                <w:rFonts w:cs="Calibri"/>
                <w:color w:val="000000"/>
                <w:sz w:val="20"/>
              </w:rPr>
            </w:pPr>
            <w:r w:rsidRPr="005D324B">
              <w:rPr>
                <w:rFonts w:cs="Calibri"/>
                <w:color w:val="000000"/>
                <w:sz w:val="20"/>
              </w:rPr>
              <w:t>86</w:t>
            </w:r>
          </w:p>
        </w:tc>
        <w:tc>
          <w:tcPr>
            <w:tcW w:w="927" w:type="dxa"/>
            <w:tcBorders>
              <w:top w:val="nil"/>
              <w:left w:val="nil"/>
              <w:bottom w:val="single" w:sz="4" w:space="0" w:color="auto"/>
              <w:right w:val="nil"/>
            </w:tcBorders>
            <w:shd w:val="clear" w:color="auto" w:fill="auto"/>
            <w:noWrap/>
            <w:vAlign w:val="bottom"/>
            <w:hideMark/>
          </w:tcPr>
          <w:p w14:paraId="5776D4CF"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22" w:type="dxa"/>
            <w:tcBorders>
              <w:top w:val="nil"/>
              <w:left w:val="nil"/>
              <w:bottom w:val="single" w:sz="4" w:space="0" w:color="auto"/>
              <w:right w:val="nil"/>
            </w:tcBorders>
            <w:shd w:val="clear" w:color="auto" w:fill="auto"/>
            <w:noWrap/>
            <w:vAlign w:val="bottom"/>
            <w:hideMark/>
          </w:tcPr>
          <w:p w14:paraId="04CEE238" w14:textId="77777777" w:rsidR="005D324B" w:rsidRPr="005D324B" w:rsidRDefault="005D324B" w:rsidP="005D324B">
            <w:pPr>
              <w:jc w:val="center"/>
              <w:rPr>
                <w:rFonts w:cs="Calibri"/>
                <w:color w:val="000000"/>
                <w:sz w:val="20"/>
              </w:rPr>
            </w:pPr>
            <w:r w:rsidRPr="005D324B">
              <w:rPr>
                <w:rFonts w:cs="Calibri"/>
                <w:color w:val="000000"/>
                <w:sz w:val="20"/>
              </w:rPr>
              <w:t>-23%</w:t>
            </w:r>
          </w:p>
        </w:tc>
      </w:tr>
      <w:tr w:rsidR="005D324B" w:rsidRPr="005D324B" w14:paraId="025A7506"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352A4EE" w14:textId="77777777" w:rsidR="005D324B" w:rsidRPr="005D324B" w:rsidRDefault="005D324B" w:rsidP="005D324B">
            <w:pPr>
              <w:rPr>
                <w:rFonts w:cs="Calibri"/>
                <w:color w:val="000000"/>
                <w:sz w:val="20"/>
              </w:rPr>
            </w:pPr>
            <w:r w:rsidRPr="005D324B">
              <w:rPr>
                <w:rFonts w:cs="Calibri"/>
                <w:color w:val="000000"/>
                <w:sz w:val="20"/>
              </w:rPr>
              <w:t>Mississippi</w:t>
            </w:r>
          </w:p>
        </w:tc>
        <w:tc>
          <w:tcPr>
            <w:tcW w:w="1000" w:type="dxa"/>
            <w:tcBorders>
              <w:top w:val="nil"/>
              <w:left w:val="nil"/>
              <w:bottom w:val="single" w:sz="4" w:space="0" w:color="auto"/>
              <w:right w:val="nil"/>
            </w:tcBorders>
            <w:shd w:val="clear" w:color="auto" w:fill="auto"/>
            <w:noWrap/>
            <w:vAlign w:val="center"/>
            <w:hideMark/>
          </w:tcPr>
          <w:p w14:paraId="048E0892" w14:textId="77777777" w:rsidR="005D324B" w:rsidRPr="005D324B" w:rsidRDefault="005D324B" w:rsidP="005D324B">
            <w:pPr>
              <w:jc w:val="center"/>
              <w:rPr>
                <w:rFonts w:cs="Calibri"/>
                <w:color w:val="000000"/>
                <w:sz w:val="20"/>
              </w:rPr>
            </w:pPr>
            <w:r w:rsidRPr="005D324B">
              <w:rPr>
                <w:rFonts w:cs="Calibri"/>
                <w:color w:val="000000"/>
                <w:sz w:val="20"/>
              </w:rPr>
              <w:t>48</w:t>
            </w:r>
          </w:p>
        </w:tc>
        <w:tc>
          <w:tcPr>
            <w:tcW w:w="1000" w:type="dxa"/>
            <w:tcBorders>
              <w:top w:val="nil"/>
              <w:left w:val="nil"/>
              <w:bottom w:val="single" w:sz="4" w:space="0" w:color="auto"/>
              <w:right w:val="nil"/>
            </w:tcBorders>
            <w:shd w:val="clear" w:color="auto" w:fill="auto"/>
            <w:noWrap/>
            <w:vAlign w:val="center"/>
            <w:hideMark/>
          </w:tcPr>
          <w:p w14:paraId="57EB6ECD" w14:textId="77777777" w:rsidR="005D324B" w:rsidRPr="005D324B" w:rsidRDefault="005D324B" w:rsidP="005D324B">
            <w:pPr>
              <w:jc w:val="center"/>
              <w:rPr>
                <w:rFonts w:cs="Calibri"/>
                <w:color w:val="000000"/>
                <w:sz w:val="20"/>
              </w:rPr>
            </w:pPr>
            <w:r w:rsidRPr="005D324B">
              <w:rPr>
                <w:rFonts w:cs="Calibri"/>
                <w:color w:val="000000"/>
                <w:sz w:val="20"/>
              </w:rPr>
              <w:t>47</w:t>
            </w:r>
          </w:p>
        </w:tc>
        <w:tc>
          <w:tcPr>
            <w:tcW w:w="1000" w:type="dxa"/>
            <w:tcBorders>
              <w:top w:val="nil"/>
              <w:left w:val="nil"/>
              <w:bottom w:val="single" w:sz="4" w:space="0" w:color="auto"/>
              <w:right w:val="nil"/>
            </w:tcBorders>
            <w:shd w:val="clear" w:color="auto" w:fill="auto"/>
            <w:noWrap/>
            <w:vAlign w:val="center"/>
            <w:hideMark/>
          </w:tcPr>
          <w:p w14:paraId="7E069D4A" w14:textId="77777777" w:rsidR="005D324B" w:rsidRPr="005D324B" w:rsidRDefault="005D324B" w:rsidP="005D324B">
            <w:pPr>
              <w:jc w:val="center"/>
              <w:rPr>
                <w:rFonts w:cs="Calibri"/>
                <w:color w:val="000000"/>
                <w:sz w:val="20"/>
              </w:rPr>
            </w:pPr>
            <w:r w:rsidRPr="005D324B">
              <w:rPr>
                <w:rFonts w:cs="Calibri"/>
                <w:color w:val="000000"/>
                <w:sz w:val="20"/>
              </w:rPr>
              <w:t>46</w:t>
            </w:r>
          </w:p>
        </w:tc>
        <w:tc>
          <w:tcPr>
            <w:tcW w:w="1000" w:type="dxa"/>
            <w:tcBorders>
              <w:top w:val="nil"/>
              <w:left w:val="nil"/>
              <w:bottom w:val="single" w:sz="4" w:space="0" w:color="auto"/>
              <w:right w:val="nil"/>
            </w:tcBorders>
            <w:shd w:val="clear" w:color="auto" w:fill="auto"/>
            <w:noWrap/>
            <w:vAlign w:val="center"/>
            <w:hideMark/>
          </w:tcPr>
          <w:p w14:paraId="5ECD1286" w14:textId="77777777" w:rsidR="005D324B" w:rsidRPr="005D324B" w:rsidRDefault="005D324B" w:rsidP="005D324B">
            <w:pPr>
              <w:jc w:val="center"/>
              <w:rPr>
                <w:rFonts w:cs="Calibri"/>
                <w:color w:val="000000"/>
                <w:sz w:val="20"/>
              </w:rPr>
            </w:pPr>
            <w:r w:rsidRPr="005D324B">
              <w:rPr>
                <w:rFonts w:cs="Calibri"/>
                <w:color w:val="000000"/>
                <w:sz w:val="20"/>
              </w:rPr>
              <w:t>46</w:t>
            </w:r>
          </w:p>
        </w:tc>
        <w:tc>
          <w:tcPr>
            <w:tcW w:w="1000" w:type="dxa"/>
            <w:tcBorders>
              <w:top w:val="nil"/>
              <w:left w:val="nil"/>
              <w:bottom w:val="single" w:sz="4" w:space="0" w:color="auto"/>
              <w:right w:val="nil"/>
            </w:tcBorders>
            <w:shd w:val="clear" w:color="auto" w:fill="auto"/>
            <w:noWrap/>
            <w:vAlign w:val="center"/>
            <w:hideMark/>
          </w:tcPr>
          <w:p w14:paraId="7C4C7538" w14:textId="77777777" w:rsidR="005D324B" w:rsidRPr="005D324B" w:rsidRDefault="005D324B" w:rsidP="005D324B">
            <w:pPr>
              <w:jc w:val="center"/>
              <w:rPr>
                <w:rFonts w:cs="Calibri"/>
                <w:color w:val="000000"/>
                <w:sz w:val="20"/>
              </w:rPr>
            </w:pPr>
            <w:r w:rsidRPr="005D324B">
              <w:rPr>
                <w:rFonts w:cs="Calibri"/>
                <w:color w:val="000000"/>
                <w:sz w:val="20"/>
              </w:rPr>
              <w:t>45</w:t>
            </w:r>
          </w:p>
        </w:tc>
        <w:tc>
          <w:tcPr>
            <w:tcW w:w="927" w:type="dxa"/>
            <w:tcBorders>
              <w:top w:val="nil"/>
              <w:left w:val="nil"/>
              <w:bottom w:val="single" w:sz="4" w:space="0" w:color="auto"/>
              <w:right w:val="nil"/>
            </w:tcBorders>
            <w:shd w:val="clear" w:color="auto" w:fill="auto"/>
            <w:noWrap/>
            <w:vAlign w:val="bottom"/>
            <w:hideMark/>
          </w:tcPr>
          <w:p w14:paraId="1C39DDAE"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72FA2B42" w14:textId="77777777" w:rsidR="005D324B" w:rsidRPr="005D324B" w:rsidRDefault="005D324B" w:rsidP="005D324B">
            <w:pPr>
              <w:jc w:val="center"/>
              <w:rPr>
                <w:rFonts w:cs="Calibri"/>
                <w:color w:val="000000"/>
                <w:sz w:val="20"/>
              </w:rPr>
            </w:pPr>
            <w:r w:rsidRPr="005D324B">
              <w:rPr>
                <w:rFonts w:cs="Calibri"/>
                <w:color w:val="000000"/>
                <w:sz w:val="20"/>
              </w:rPr>
              <w:t>-6%</w:t>
            </w:r>
          </w:p>
        </w:tc>
      </w:tr>
      <w:tr w:rsidR="005D324B" w:rsidRPr="005D324B" w14:paraId="2703F76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34805F9" w14:textId="77777777" w:rsidR="005D324B" w:rsidRPr="005D324B" w:rsidRDefault="005D324B" w:rsidP="005D324B">
            <w:pPr>
              <w:rPr>
                <w:rFonts w:cs="Calibri"/>
                <w:color w:val="000000"/>
                <w:sz w:val="20"/>
              </w:rPr>
            </w:pPr>
            <w:r w:rsidRPr="005D324B">
              <w:rPr>
                <w:rFonts w:cs="Calibri"/>
                <w:color w:val="000000"/>
                <w:sz w:val="20"/>
              </w:rPr>
              <w:t>Missouri</w:t>
            </w:r>
          </w:p>
        </w:tc>
        <w:tc>
          <w:tcPr>
            <w:tcW w:w="1000" w:type="dxa"/>
            <w:tcBorders>
              <w:top w:val="nil"/>
              <w:left w:val="nil"/>
              <w:bottom w:val="single" w:sz="4" w:space="0" w:color="auto"/>
              <w:right w:val="nil"/>
            </w:tcBorders>
            <w:shd w:val="clear" w:color="auto" w:fill="auto"/>
            <w:noWrap/>
            <w:vAlign w:val="center"/>
            <w:hideMark/>
          </w:tcPr>
          <w:p w14:paraId="5D1A1466" w14:textId="77777777" w:rsidR="005D324B" w:rsidRPr="005D324B" w:rsidRDefault="005D324B" w:rsidP="005D324B">
            <w:pPr>
              <w:jc w:val="center"/>
              <w:rPr>
                <w:rFonts w:cs="Calibri"/>
                <w:color w:val="000000"/>
                <w:sz w:val="20"/>
              </w:rPr>
            </w:pPr>
            <w:r w:rsidRPr="005D324B">
              <w:rPr>
                <w:rFonts w:cs="Calibri"/>
                <w:color w:val="000000"/>
                <w:sz w:val="20"/>
              </w:rPr>
              <w:t>153</w:t>
            </w:r>
          </w:p>
        </w:tc>
        <w:tc>
          <w:tcPr>
            <w:tcW w:w="1000" w:type="dxa"/>
            <w:tcBorders>
              <w:top w:val="nil"/>
              <w:left w:val="nil"/>
              <w:bottom w:val="single" w:sz="4" w:space="0" w:color="auto"/>
              <w:right w:val="nil"/>
            </w:tcBorders>
            <w:shd w:val="clear" w:color="auto" w:fill="auto"/>
            <w:noWrap/>
            <w:vAlign w:val="center"/>
            <w:hideMark/>
          </w:tcPr>
          <w:p w14:paraId="4C8D6FF6" w14:textId="77777777" w:rsidR="005D324B" w:rsidRPr="005D324B" w:rsidRDefault="005D324B" w:rsidP="005D324B">
            <w:pPr>
              <w:jc w:val="center"/>
              <w:rPr>
                <w:rFonts w:cs="Calibri"/>
                <w:color w:val="000000"/>
                <w:sz w:val="20"/>
              </w:rPr>
            </w:pPr>
            <w:r w:rsidRPr="005D324B">
              <w:rPr>
                <w:rFonts w:cs="Calibri"/>
                <w:color w:val="000000"/>
                <w:sz w:val="20"/>
              </w:rPr>
              <w:t>145</w:t>
            </w:r>
          </w:p>
        </w:tc>
        <w:tc>
          <w:tcPr>
            <w:tcW w:w="1000" w:type="dxa"/>
            <w:tcBorders>
              <w:top w:val="nil"/>
              <w:left w:val="nil"/>
              <w:bottom w:val="single" w:sz="4" w:space="0" w:color="auto"/>
              <w:right w:val="nil"/>
            </w:tcBorders>
            <w:shd w:val="clear" w:color="auto" w:fill="auto"/>
            <w:noWrap/>
            <w:vAlign w:val="center"/>
            <w:hideMark/>
          </w:tcPr>
          <w:p w14:paraId="690D0136" w14:textId="77777777" w:rsidR="005D324B" w:rsidRPr="005D324B" w:rsidRDefault="005D324B" w:rsidP="005D324B">
            <w:pPr>
              <w:jc w:val="center"/>
              <w:rPr>
                <w:rFonts w:cs="Calibri"/>
                <w:color w:val="000000"/>
                <w:sz w:val="20"/>
              </w:rPr>
            </w:pPr>
            <w:r w:rsidRPr="005D324B">
              <w:rPr>
                <w:rFonts w:cs="Calibri"/>
                <w:color w:val="000000"/>
                <w:sz w:val="20"/>
              </w:rPr>
              <w:t>144</w:t>
            </w:r>
          </w:p>
        </w:tc>
        <w:tc>
          <w:tcPr>
            <w:tcW w:w="1000" w:type="dxa"/>
            <w:tcBorders>
              <w:top w:val="nil"/>
              <w:left w:val="nil"/>
              <w:bottom w:val="single" w:sz="4" w:space="0" w:color="auto"/>
              <w:right w:val="nil"/>
            </w:tcBorders>
            <w:shd w:val="clear" w:color="auto" w:fill="auto"/>
            <w:noWrap/>
            <w:vAlign w:val="center"/>
            <w:hideMark/>
          </w:tcPr>
          <w:p w14:paraId="32F47472" w14:textId="77777777" w:rsidR="005D324B" w:rsidRPr="005D324B" w:rsidRDefault="005D324B" w:rsidP="005D324B">
            <w:pPr>
              <w:jc w:val="center"/>
              <w:rPr>
                <w:rFonts w:cs="Calibri"/>
                <w:color w:val="000000"/>
                <w:sz w:val="20"/>
              </w:rPr>
            </w:pPr>
            <w:r w:rsidRPr="005D324B">
              <w:rPr>
                <w:rFonts w:cs="Calibri"/>
                <w:color w:val="000000"/>
                <w:sz w:val="20"/>
              </w:rPr>
              <w:t>136</w:t>
            </w:r>
          </w:p>
        </w:tc>
        <w:tc>
          <w:tcPr>
            <w:tcW w:w="1000" w:type="dxa"/>
            <w:tcBorders>
              <w:top w:val="nil"/>
              <w:left w:val="nil"/>
              <w:bottom w:val="single" w:sz="4" w:space="0" w:color="auto"/>
              <w:right w:val="nil"/>
            </w:tcBorders>
            <w:shd w:val="clear" w:color="auto" w:fill="auto"/>
            <w:noWrap/>
            <w:vAlign w:val="center"/>
            <w:hideMark/>
          </w:tcPr>
          <w:p w14:paraId="67240E9B" w14:textId="77777777" w:rsidR="005D324B" w:rsidRPr="005D324B" w:rsidRDefault="005D324B" w:rsidP="005D324B">
            <w:pPr>
              <w:jc w:val="center"/>
              <w:rPr>
                <w:rFonts w:cs="Calibri"/>
                <w:color w:val="000000"/>
                <w:sz w:val="20"/>
              </w:rPr>
            </w:pPr>
            <w:r w:rsidRPr="005D324B">
              <w:rPr>
                <w:rFonts w:cs="Calibri"/>
                <w:color w:val="000000"/>
                <w:sz w:val="20"/>
              </w:rPr>
              <w:t>128</w:t>
            </w:r>
          </w:p>
        </w:tc>
        <w:tc>
          <w:tcPr>
            <w:tcW w:w="927" w:type="dxa"/>
            <w:tcBorders>
              <w:top w:val="nil"/>
              <w:left w:val="nil"/>
              <w:bottom w:val="single" w:sz="4" w:space="0" w:color="auto"/>
              <w:right w:val="nil"/>
            </w:tcBorders>
            <w:shd w:val="clear" w:color="auto" w:fill="auto"/>
            <w:noWrap/>
            <w:vAlign w:val="bottom"/>
            <w:hideMark/>
          </w:tcPr>
          <w:p w14:paraId="6D513E4D"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22" w:type="dxa"/>
            <w:tcBorders>
              <w:top w:val="nil"/>
              <w:left w:val="nil"/>
              <w:bottom w:val="single" w:sz="4" w:space="0" w:color="auto"/>
              <w:right w:val="nil"/>
            </w:tcBorders>
            <w:shd w:val="clear" w:color="auto" w:fill="auto"/>
            <w:noWrap/>
            <w:vAlign w:val="bottom"/>
            <w:hideMark/>
          </w:tcPr>
          <w:p w14:paraId="60D002B0" w14:textId="77777777" w:rsidR="005D324B" w:rsidRPr="005D324B" w:rsidRDefault="005D324B" w:rsidP="005D324B">
            <w:pPr>
              <w:jc w:val="center"/>
              <w:rPr>
                <w:rFonts w:cs="Calibri"/>
                <w:color w:val="000000"/>
                <w:sz w:val="20"/>
              </w:rPr>
            </w:pPr>
            <w:r w:rsidRPr="005D324B">
              <w:rPr>
                <w:rFonts w:cs="Calibri"/>
                <w:color w:val="000000"/>
                <w:sz w:val="20"/>
              </w:rPr>
              <w:t>-16%</w:t>
            </w:r>
          </w:p>
        </w:tc>
      </w:tr>
      <w:tr w:rsidR="005D324B" w:rsidRPr="005D324B" w14:paraId="6ACDDBA9"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E35E4C1" w14:textId="77777777" w:rsidR="005D324B" w:rsidRPr="005D324B" w:rsidRDefault="005D324B" w:rsidP="005D324B">
            <w:pPr>
              <w:rPr>
                <w:rFonts w:cs="Calibri"/>
                <w:color w:val="000000"/>
                <w:sz w:val="20"/>
              </w:rPr>
            </w:pPr>
            <w:r w:rsidRPr="005D324B">
              <w:rPr>
                <w:rFonts w:cs="Calibri"/>
                <w:color w:val="000000"/>
                <w:sz w:val="20"/>
              </w:rPr>
              <w:t>Montana</w:t>
            </w:r>
          </w:p>
        </w:tc>
        <w:tc>
          <w:tcPr>
            <w:tcW w:w="1000" w:type="dxa"/>
            <w:tcBorders>
              <w:top w:val="nil"/>
              <w:left w:val="nil"/>
              <w:bottom w:val="single" w:sz="4" w:space="0" w:color="auto"/>
              <w:right w:val="nil"/>
            </w:tcBorders>
            <w:shd w:val="clear" w:color="auto" w:fill="auto"/>
            <w:noWrap/>
            <w:vAlign w:val="center"/>
            <w:hideMark/>
          </w:tcPr>
          <w:p w14:paraId="5495B9DF"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1000" w:type="dxa"/>
            <w:tcBorders>
              <w:top w:val="nil"/>
              <w:left w:val="nil"/>
              <w:bottom w:val="single" w:sz="4" w:space="0" w:color="auto"/>
              <w:right w:val="nil"/>
            </w:tcBorders>
            <w:shd w:val="clear" w:color="auto" w:fill="auto"/>
            <w:noWrap/>
            <w:vAlign w:val="center"/>
            <w:hideMark/>
          </w:tcPr>
          <w:p w14:paraId="0F088039"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00" w:type="dxa"/>
            <w:tcBorders>
              <w:top w:val="nil"/>
              <w:left w:val="nil"/>
              <w:bottom w:val="single" w:sz="4" w:space="0" w:color="auto"/>
              <w:right w:val="nil"/>
            </w:tcBorders>
            <w:shd w:val="clear" w:color="auto" w:fill="auto"/>
            <w:noWrap/>
            <w:vAlign w:val="center"/>
            <w:hideMark/>
          </w:tcPr>
          <w:p w14:paraId="542BC6E0"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2E7953BF" w14:textId="77777777" w:rsidR="005D324B" w:rsidRPr="005D324B" w:rsidRDefault="005D324B" w:rsidP="005D324B">
            <w:pPr>
              <w:jc w:val="center"/>
              <w:rPr>
                <w:rFonts w:cs="Calibri"/>
                <w:color w:val="000000"/>
                <w:sz w:val="20"/>
              </w:rPr>
            </w:pPr>
            <w:r w:rsidRPr="005D324B">
              <w:rPr>
                <w:rFonts w:cs="Calibri"/>
                <w:color w:val="000000"/>
                <w:sz w:val="20"/>
              </w:rPr>
              <w:t>23</w:t>
            </w:r>
          </w:p>
        </w:tc>
        <w:tc>
          <w:tcPr>
            <w:tcW w:w="1000" w:type="dxa"/>
            <w:tcBorders>
              <w:top w:val="nil"/>
              <w:left w:val="nil"/>
              <w:bottom w:val="single" w:sz="4" w:space="0" w:color="auto"/>
              <w:right w:val="nil"/>
            </w:tcBorders>
            <w:shd w:val="clear" w:color="auto" w:fill="auto"/>
            <w:noWrap/>
            <w:vAlign w:val="center"/>
            <w:hideMark/>
          </w:tcPr>
          <w:p w14:paraId="7F8E8E17" w14:textId="77777777" w:rsidR="005D324B" w:rsidRPr="005D324B" w:rsidRDefault="005D324B" w:rsidP="005D324B">
            <w:pPr>
              <w:jc w:val="center"/>
              <w:rPr>
                <w:rFonts w:cs="Calibri"/>
                <w:color w:val="000000"/>
                <w:sz w:val="20"/>
              </w:rPr>
            </w:pPr>
            <w:r w:rsidRPr="005D324B">
              <w:rPr>
                <w:rFonts w:cs="Calibri"/>
                <w:color w:val="000000"/>
                <w:sz w:val="20"/>
              </w:rPr>
              <w:t>23</w:t>
            </w:r>
          </w:p>
        </w:tc>
        <w:tc>
          <w:tcPr>
            <w:tcW w:w="927" w:type="dxa"/>
            <w:tcBorders>
              <w:top w:val="nil"/>
              <w:left w:val="nil"/>
              <w:bottom w:val="single" w:sz="4" w:space="0" w:color="auto"/>
              <w:right w:val="nil"/>
            </w:tcBorders>
            <w:shd w:val="clear" w:color="auto" w:fill="auto"/>
            <w:noWrap/>
            <w:vAlign w:val="bottom"/>
            <w:hideMark/>
          </w:tcPr>
          <w:p w14:paraId="1AEE020B"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37D112E0" w14:textId="77777777" w:rsidR="005D324B" w:rsidRPr="005D324B" w:rsidRDefault="005D324B" w:rsidP="005D324B">
            <w:pPr>
              <w:jc w:val="center"/>
              <w:rPr>
                <w:rFonts w:cs="Calibri"/>
                <w:color w:val="000000"/>
                <w:sz w:val="20"/>
              </w:rPr>
            </w:pPr>
            <w:r w:rsidRPr="005D324B">
              <w:rPr>
                <w:rFonts w:cs="Calibri"/>
                <w:color w:val="000000"/>
                <w:sz w:val="20"/>
              </w:rPr>
              <w:t>-12%</w:t>
            </w:r>
          </w:p>
        </w:tc>
      </w:tr>
      <w:tr w:rsidR="005D324B" w:rsidRPr="005D324B" w14:paraId="5241C77E"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670DCC0" w14:textId="77777777" w:rsidR="005D324B" w:rsidRPr="005D324B" w:rsidRDefault="005D324B" w:rsidP="005D324B">
            <w:pPr>
              <w:rPr>
                <w:rFonts w:cs="Calibri"/>
                <w:color w:val="000000"/>
                <w:sz w:val="20"/>
              </w:rPr>
            </w:pPr>
            <w:r w:rsidRPr="005D324B">
              <w:rPr>
                <w:rFonts w:cs="Calibri"/>
                <w:color w:val="000000"/>
                <w:sz w:val="20"/>
              </w:rPr>
              <w:lastRenderedPageBreak/>
              <w:t>Nebraska</w:t>
            </w:r>
          </w:p>
        </w:tc>
        <w:tc>
          <w:tcPr>
            <w:tcW w:w="1000" w:type="dxa"/>
            <w:tcBorders>
              <w:top w:val="nil"/>
              <w:left w:val="nil"/>
              <w:bottom w:val="single" w:sz="4" w:space="0" w:color="auto"/>
              <w:right w:val="nil"/>
            </w:tcBorders>
            <w:shd w:val="clear" w:color="auto" w:fill="auto"/>
            <w:noWrap/>
            <w:vAlign w:val="center"/>
            <w:hideMark/>
          </w:tcPr>
          <w:p w14:paraId="62D1A36A" w14:textId="77777777" w:rsidR="005D324B" w:rsidRPr="005D324B" w:rsidRDefault="005D324B" w:rsidP="005D324B">
            <w:pPr>
              <w:jc w:val="center"/>
              <w:rPr>
                <w:rFonts w:cs="Calibri"/>
                <w:color w:val="000000"/>
                <w:sz w:val="20"/>
              </w:rPr>
            </w:pPr>
            <w:r w:rsidRPr="005D324B">
              <w:rPr>
                <w:rFonts w:cs="Calibri"/>
                <w:color w:val="000000"/>
                <w:sz w:val="20"/>
              </w:rPr>
              <w:t>66</w:t>
            </w:r>
          </w:p>
        </w:tc>
        <w:tc>
          <w:tcPr>
            <w:tcW w:w="1000" w:type="dxa"/>
            <w:tcBorders>
              <w:top w:val="nil"/>
              <w:left w:val="nil"/>
              <w:bottom w:val="single" w:sz="4" w:space="0" w:color="auto"/>
              <w:right w:val="nil"/>
            </w:tcBorders>
            <w:shd w:val="clear" w:color="auto" w:fill="auto"/>
            <w:noWrap/>
            <w:vAlign w:val="center"/>
            <w:hideMark/>
          </w:tcPr>
          <w:p w14:paraId="1F77087B" w14:textId="77777777" w:rsidR="005D324B" w:rsidRPr="005D324B" w:rsidRDefault="005D324B" w:rsidP="005D324B">
            <w:pPr>
              <w:jc w:val="center"/>
              <w:rPr>
                <w:rFonts w:cs="Calibri"/>
                <w:color w:val="000000"/>
                <w:sz w:val="20"/>
              </w:rPr>
            </w:pPr>
            <w:r w:rsidRPr="005D324B">
              <w:rPr>
                <w:rFonts w:cs="Calibri"/>
                <w:color w:val="000000"/>
                <w:sz w:val="20"/>
              </w:rPr>
              <w:t>65</w:t>
            </w:r>
          </w:p>
        </w:tc>
        <w:tc>
          <w:tcPr>
            <w:tcW w:w="1000" w:type="dxa"/>
            <w:tcBorders>
              <w:top w:val="nil"/>
              <w:left w:val="nil"/>
              <w:bottom w:val="single" w:sz="4" w:space="0" w:color="auto"/>
              <w:right w:val="nil"/>
            </w:tcBorders>
            <w:shd w:val="clear" w:color="auto" w:fill="auto"/>
            <w:noWrap/>
            <w:vAlign w:val="center"/>
            <w:hideMark/>
          </w:tcPr>
          <w:p w14:paraId="348D0A89" w14:textId="77777777" w:rsidR="005D324B" w:rsidRPr="005D324B" w:rsidRDefault="005D324B" w:rsidP="005D324B">
            <w:pPr>
              <w:jc w:val="center"/>
              <w:rPr>
                <w:rFonts w:cs="Calibri"/>
                <w:color w:val="000000"/>
                <w:sz w:val="20"/>
              </w:rPr>
            </w:pPr>
            <w:r w:rsidRPr="005D324B">
              <w:rPr>
                <w:rFonts w:cs="Calibri"/>
                <w:color w:val="000000"/>
                <w:sz w:val="20"/>
              </w:rPr>
              <w:t>62</w:t>
            </w:r>
          </w:p>
        </w:tc>
        <w:tc>
          <w:tcPr>
            <w:tcW w:w="1000" w:type="dxa"/>
            <w:tcBorders>
              <w:top w:val="nil"/>
              <w:left w:val="nil"/>
              <w:bottom w:val="single" w:sz="4" w:space="0" w:color="auto"/>
              <w:right w:val="nil"/>
            </w:tcBorders>
            <w:shd w:val="clear" w:color="auto" w:fill="auto"/>
            <w:noWrap/>
            <w:vAlign w:val="center"/>
            <w:hideMark/>
          </w:tcPr>
          <w:p w14:paraId="21D9F7EC" w14:textId="77777777" w:rsidR="005D324B" w:rsidRPr="005D324B" w:rsidRDefault="005D324B" w:rsidP="005D324B">
            <w:pPr>
              <w:jc w:val="center"/>
              <w:rPr>
                <w:rFonts w:cs="Calibri"/>
                <w:color w:val="000000"/>
                <w:sz w:val="20"/>
              </w:rPr>
            </w:pPr>
            <w:r w:rsidRPr="005D324B">
              <w:rPr>
                <w:rFonts w:cs="Calibri"/>
                <w:color w:val="000000"/>
                <w:sz w:val="20"/>
              </w:rPr>
              <w:t>60</w:t>
            </w:r>
          </w:p>
        </w:tc>
        <w:tc>
          <w:tcPr>
            <w:tcW w:w="1000" w:type="dxa"/>
            <w:tcBorders>
              <w:top w:val="nil"/>
              <w:left w:val="nil"/>
              <w:bottom w:val="single" w:sz="4" w:space="0" w:color="auto"/>
              <w:right w:val="nil"/>
            </w:tcBorders>
            <w:shd w:val="clear" w:color="auto" w:fill="auto"/>
            <w:noWrap/>
            <w:vAlign w:val="center"/>
            <w:hideMark/>
          </w:tcPr>
          <w:p w14:paraId="4208DD85" w14:textId="77777777" w:rsidR="005D324B" w:rsidRPr="005D324B" w:rsidRDefault="005D324B" w:rsidP="005D324B">
            <w:pPr>
              <w:jc w:val="center"/>
              <w:rPr>
                <w:rFonts w:cs="Calibri"/>
                <w:color w:val="000000"/>
                <w:sz w:val="20"/>
              </w:rPr>
            </w:pPr>
            <w:r w:rsidRPr="005D324B">
              <w:rPr>
                <w:rFonts w:cs="Calibri"/>
                <w:color w:val="000000"/>
                <w:sz w:val="20"/>
              </w:rPr>
              <w:t>57</w:t>
            </w:r>
          </w:p>
        </w:tc>
        <w:tc>
          <w:tcPr>
            <w:tcW w:w="927" w:type="dxa"/>
            <w:tcBorders>
              <w:top w:val="nil"/>
              <w:left w:val="nil"/>
              <w:bottom w:val="single" w:sz="4" w:space="0" w:color="auto"/>
              <w:right w:val="nil"/>
            </w:tcBorders>
            <w:shd w:val="clear" w:color="auto" w:fill="auto"/>
            <w:noWrap/>
            <w:vAlign w:val="bottom"/>
            <w:hideMark/>
          </w:tcPr>
          <w:p w14:paraId="6927076A" w14:textId="77777777" w:rsidR="005D324B" w:rsidRPr="005D324B" w:rsidRDefault="005D324B" w:rsidP="005D324B">
            <w:pPr>
              <w:jc w:val="center"/>
              <w:rPr>
                <w:rFonts w:cs="Calibri"/>
                <w:color w:val="000000"/>
                <w:sz w:val="20"/>
              </w:rPr>
            </w:pPr>
            <w:r w:rsidRPr="005D324B">
              <w:rPr>
                <w:rFonts w:cs="Calibri"/>
                <w:color w:val="000000"/>
                <w:sz w:val="20"/>
              </w:rPr>
              <w:t>-9</w:t>
            </w:r>
          </w:p>
        </w:tc>
        <w:tc>
          <w:tcPr>
            <w:tcW w:w="1022" w:type="dxa"/>
            <w:tcBorders>
              <w:top w:val="nil"/>
              <w:left w:val="nil"/>
              <w:bottom w:val="single" w:sz="4" w:space="0" w:color="auto"/>
              <w:right w:val="nil"/>
            </w:tcBorders>
            <w:shd w:val="clear" w:color="auto" w:fill="auto"/>
            <w:noWrap/>
            <w:vAlign w:val="bottom"/>
            <w:hideMark/>
          </w:tcPr>
          <w:p w14:paraId="19544E05" w14:textId="77777777" w:rsidR="005D324B" w:rsidRPr="005D324B" w:rsidRDefault="005D324B" w:rsidP="005D324B">
            <w:pPr>
              <w:jc w:val="center"/>
              <w:rPr>
                <w:rFonts w:cs="Calibri"/>
                <w:color w:val="000000"/>
                <w:sz w:val="20"/>
              </w:rPr>
            </w:pPr>
            <w:r w:rsidRPr="005D324B">
              <w:rPr>
                <w:rFonts w:cs="Calibri"/>
                <w:color w:val="000000"/>
                <w:sz w:val="20"/>
              </w:rPr>
              <w:t>-14%</w:t>
            </w:r>
          </w:p>
        </w:tc>
      </w:tr>
      <w:tr w:rsidR="005D324B" w:rsidRPr="005D324B" w14:paraId="6692E246"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08F1706" w14:textId="77777777" w:rsidR="005D324B" w:rsidRPr="005D324B" w:rsidRDefault="005D324B" w:rsidP="005D324B">
            <w:pPr>
              <w:rPr>
                <w:rFonts w:cs="Calibri"/>
                <w:color w:val="000000"/>
                <w:sz w:val="20"/>
              </w:rPr>
            </w:pPr>
            <w:r w:rsidRPr="005D324B">
              <w:rPr>
                <w:rFonts w:cs="Calibri"/>
                <w:color w:val="000000"/>
                <w:sz w:val="20"/>
              </w:rPr>
              <w:t>Nevada</w:t>
            </w:r>
          </w:p>
        </w:tc>
        <w:tc>
          <w:tcPr>
            <w:tcW w:w="1000" w:type="dxa"/>
            <w:tcBorders>
              <w:top w:val="nil"/>
              <w:left w:val="nil"/>
              <w:bottom w:val="single" w:sz="4" w:space="0" w:color="auto"/>
              <w:right w:val="nil"/>
            </w:tcBorders>
            <w:shd w:val="clear" w:color="auto" w:fill="auto"/>
            <w:noWrap/>
            <w:vAlign w:val="center"/>
            <w:hideMark/>
          </w:tcPr>
          <w:p w14:paraId="4C730A62" w14:textId="77777777" w:rsidR="005D324B" w:rsidRPr="005D324B" w:rsidRDefault="005D324B" w:rsidP="005D324B">
            <w:pPr>
              <w:jc w:val="center"/>
              <w:rPr>
                <w:rFonts w:cs="Calibri"/>
                <w:color w:val="000000"/>
                <w:sz w:val="20"/>
              </w:rPr>
            </w:pPr>
            <w:r w:rsidRPr="005D324B">
              <w:rPr>
                <w:rFonts w:cs="Calibri"/>
                <w:color w:val="000000"/>
                <w:sz w:val="20"/>
              </w:rPr>
              <w:t>143</w:t>
            </w:r>
          </w:p>
        </w:tc>
        <w:tc>
          <w:tcPr>
            <w:tcW w:w="1000" w:type="dxa"/>
            <w:tcBorders>
              <w:top w:val="nil"/>
              <w:left w:val="nil"/>
              <w:bottom w:val="single" w:sz="4" w:space="0" w:color="auto"/>
              <w:right w:val="nil"/>
            </w:tcBorders>
            <w:shd w:val="clear" w:color="auto" w:fill="auto"/>
            <w:noWrap/>
            <w:vAlign w:val="center"/>
            <w:hideMark/>
          </w:tcPr>
          <w:p w14:paraId="74623D32" w14:textId="77777777" w:rsidR="005D324B" w:rsidRPr="005D324B" w:rsidRDefault="005D324B" w:rsidP="005D324B">
            <w:pPr>
              <w:jc w:val="center"/>
              <w:rPr>
                <w:rFonts w:cs="Calibri"/>
                <w:color w:val="000000"/>
                <w:sz w:val="20"/>
              </w:rPr>
            </w:pPr>
            <w:r w:rsidRPr="005D324B">
              <w:rPr>
                <w:rFonts w:cs="Calibri"/>
                <w:color w:val="000000"/>
                <w:sz w:val="20"/>
              </w:rPr>
              <w:t>147</w:t>
            </w:r>
          </w:p>
        </w:tc>
        <w:tc>
          <w:tcPr>
            <w:tcW w:w="1000" w:type="dxa"/>
            <w:tcBorders>
              <w:top w:val="nil"/>
              <w:left w:val="nil"/>
              <w:bottom w:val="single" w:sz="4" w:space="0" w:color="auto"/>
              <w:right w:val="nil"/>
            </w:tcBorders>
            <w:shd w:val="clear" w:color="auto" w:fill="auto"/>
            <w:noWrap/>
            <w:vAlign w:val="center"/>
            <w:hideMark/>
          </w:tcPr>
          <w:p w14:paraId="77D2A112" w14:textId="77777777" w:rsidR="005D324B" w:rsidRPr="005D324B" w:rsidRDefault="005D324B" w:rsidP="005D324B">
            <w:pPr>
              <w:jc w:val="center"/>
              <w:rPr>
                <w:rFonts w:cs="Calibri"/>
                <w:color w:val="000000"/>
                <w:sz w:val="20"/>
              </w:rPr>
            </w:pPr>
            <w:r w:rsidRPr="005D324B">
              <w:rPr>
                <w:rFonts w:cs="Calibri"/>
                <w:color w:val="000000"/>
                <w:sz w:val="20"/>
              </w:rPr>
              <w:t>146</w:t>
            </w:r>
          </w:p>
        </w:tc>
        <w:tc>
          <w:tcPr>
            <w:tcW w:w="1000" w:type="dxa"/>
            <w:tcBorders>
              <w:top w:val="nil"/>
              <w:left w:val="nil"/>
              <w:bottom w:val="single" w:sz="4" w:space="0" w:color="auto"/>
              <w:right w:val="nil"/>
            </w:tcBorders>
            <w:shd w:val="clear" w:color="auto" w:fill="auto"/>
            <w:noWrap/>
            <w:vAlign w:val="center"/>
            <w:hideMark/>
          </w:tcPr>
          <w:p w14:paraId="667A1DC2" w14:textId="77777777" w:rsidR="005D324B" w:rsidRPr="005D324B" w:rsidRDefault="005D324B" w:rsidP="005D324B">
            <w:pPr>
              <w:jc w:val="center"/>
              <w:rPr>
                <w:rFonts w:cs="Calibri"/>
                <w:color w:val="000000"/>
                <w:sz w:val="20"/>
              </w:rPr>
            </w:pPr>
            <w:r w:rsidRPr="005D324B">
              <w:rPr>
                <w:rFonts w:cs="Calibri"/>
                <w:color w:val="000000"/>
                <w:sz w:val="20"/>
              </w:rPr>
              <w:t>160</w:t>
            </w:r>
          </w:p>
        </w:tc>
        <w:tc>
          <w:tcPr>
            <w:tcW w:w="1000" w:type="dxa"/>
            <w:tcBorders>
              <w:top w:val="nil"/>
              <w:left w:val="nil"/>
              <w:bottom w:val="single" w:sz="4" w:space="0" w:color="auto"/>
              <w:right w:val="nil"/>
            </w:tcBorders>
            <w:shd w:val="clear" w:color="auto" w:fill="auto"/>
            <w:noWrap/>
            <w:vAlign w:val="center"/>
            <w:hideMark/>
          </w:tcPr>
          <w:p w14:paraId="75D47CCE" w14:textId="77777777" w:rsidR="005D324B" w:rsidRPr="005D324B" w:rsidRDefault="005D324B" w:rsidP="005D324B">
            <w:pPr>
              <w:jc w:val="center"/>
              <w:rPr>
                <w:rFonts w:cs="Calibri"/>
                <w:color w:val="000000"/>
                <w:sz w:val="20"/>
              </w:rPr>
            </w:pPr>
            <w:r w:rsidRPr="005D324B">
              <w:rPr>
                <w:rFonts w:cs="Calibri"/>
                <w:color w:val="000000"/>
                <w:sz w:val="20"/>
              </w:rPr>
              <w:t>157</w:t>
            </w:r>
          </w:p>
        </w:tc>
        <w:tc>
          <w:tcPr>
            <w:tcW w:w="927" w:type="dxa"/>
            <w:tcBorders>
              <w:top w:val="nil"/>
              <w:left w:val="nil"/>
              <w:bottom w:val="single" w:sz="4" w:space="0" w:color="auto"/>
              <w:right w:val="nil"/>
            </w:tcBorders>
            <w:shd w:val="clear" w:color="auto" w:fill="auto"/>
            <w:noWrap/>
            <w:vAlign w:val="bottom"/>
            <w:hideMark/>
          </w:tcPr>
          <w:p w14:paraId="73C4E92A"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22" w:type="dxa"/>
            <w:tcBorders>
              <w:top w:val="nil"/>
              <w:left w:val="nil"/>
              <w:bottom w:val="single" w:sz="4" w:space="0" w:color="auto"/>
              <w:right w:val="nil"/>
            </w:tcBorders>
            <w:shd w:val="clear" w:color="auto" w:fill="auto"/>
            <w:noWrap/>
            <w:vAlign w:val="bottom"/>
            <w:hideMark/>
          </w:tcPr>
          <w:p w14:paraId="6431D3B0" w14:textId="77777777" w:rsidR="005D324B" w:rsidRPr="005D324B" w:rsidRDefault="005D324B" w:rsidP="005D324B">
            <w:pPr>
              <w:jc w:val="center"/>
              <w:rPr>
                <w:rFonts w:cs="Calibri"/>
                <w:color w:val="000000"/>
                <w:sz w:val="20"/>
              </w:rPr>
            </w:pPr>
            <w:r w:rsidRPr="005D324B">
              <w:rPr>
                <w:rFonts w:cs="Calibri"/>
                <w:color w:val="000000"/>
                <w:sz w:val="20"/>
              </w:rPr>
              <w:t>10%</w:t>
            </w:r>
          </w:p>
        </w:tc>
      </w:tr>
      <w:tr w:rsidR="005D324B" w:rsidRPr="005D324B" w14:paraId="59E8EE97"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BFF8161" w14:textId="77777777" w:rsidR="005D324B" w:rsidRPr="005D324B" w:rsidRDefault="005D324B" w:rsidP="005D324B">
            <w:pPr>
              <w:rPr>
                <w:rFonts w:cs="Calibri"/>
                <w:color w:val="000000"/>
                <w:sz w:val="20"/>
              </w:rPr>
            </w:pPr>
            <w:r w:rsidRPr="005D324B">
              <w:rPr>
                <w:rFonts w:cs="Calibri"/>
                <w:color w:val="000000"/>
                <w:sz w:val="20"/>
              </w:rPr>
              <w:t>New Hampshire</w:t>
            </w:r>
          </w:p>
        </w:tc>
        <w:tc>
          <w:tcPr>
            <w:tcW w:w="1000" w:type="dxa"/>
            <w:tcBorders>
              <w:top w:val="nil"/>
              <w:left w:val="nil"/>
              <w:bottom w:val="single" w:sz="4" w:space="0" w:color="auto"/>
              <w:right w:val="nil"/>
            </w:tcBorders>
            <w:shd w:val="clear" w:color="auto" w:fill="auto"/>
            <w:noWrap/>
            <w:vAlign w:val="center"/>
            <w:hideMark/>
          </w:tcPr>
          <w:p w14:paraId="041339F0" w14:textId="77777777" w:rsidR="005D324B" w:rsidRPr="005D324B" w:rsidRDefault="005D324B" w:rsidP="005D324B">
            <w:pPr>
              <w:jc w:val="center"/>
              <w:rPr>
                <w:rFonts w:cs="Calibri"/>
                <w:color w:val="000000"/>
                <w:sz w:val="20"/>
              </w:rPr>
            </w:pPr>
            <w:r w:rsidRPr="005D324B">
              <w:rPr>
                <w:rFonts w:cs="Calibri"/>
                <w:color w:val="000000"/>
                <w:sz w:val="20"/>
              </w:rPr>
              <w:t>39</w:t>
            </w:r>
          </w:p>
        </w:tc>
        <w:tc>
          <w:tcPr>
            <w:tcW w:w="1000" w:type="dxa"/>
            <w:tcBorders>
              <w:top w:val="nil"/>
              <w:left w:val="nil"/>
              <w:bottom w:val="single" w:sz="4" w:space="0" w:color="auto"/>
              <w:right w:val="nil"/>
            </w:tcBorders>
            <w:shd w:val="clear" w:color="auto" w:fill="auto"/>
            <w:noWrap/>
            <w:vAlign w:val="center"/>
            <w:hideMark/>
          </w:tcPr>
          <w:p w14:paraId="70A25B8A" w14:textId="77777777" w:rsidR="005D324B" w:rsidRPr="005D324B" w:rsidRDefault="005D324B" w:rsidP="005D324B">
            <w:pPr>
              <w:jc w:val="center"/>
              <w:rPr>
                <w:rFonts w:cs="Calibri"/>
                <w:color w:val="000000"/>
                <w:sz w:val="20"/>
              </w:rPr>
            </w:pPr>
            <w:r w:rsidRPr="005D324B">
              <w:rPr>
                <w:rFonts w:cs="Calibri"/>
                <w:color w:val="000000"/>
                <w:sz w:val="20"/>
              </w:rPr>
              <w:t>35</w:t>
            </w:r>
          </w:p>
        </w:tc>
        <w:tc>
          <w:tcPr>
            <w:tcW w:w="1000" w:type="dxa"/>
            <w:tcBorders>
              <w:top w:val="nil"/>
              <w:left w:val="nil"/>
              <w:bottom w:val="single" w:sz="4" w:space="0" w:color="auto"/>
              <w:right w:val="nil"/>
            </w:tcBorders>
            <w:shd w:val="clear" w:color="auto" w:fill="auto"/>
            <w:noWrap/>
            <w:vAlign w:val="center"/>
            <w:hideMark/>
          </w:tcPr>
          <w:p w14:paraId="1F9EB58B" w14:textId="77777777" w:rsidR="005D324B" w:rsidRPr="005D324B" w:rsidRDefault="005D324B" w:rsidP="005D324B">
            <w:pPr>
              <w:jc w:val="center"/>
              <w:rPr>
                <w:rFonts w:cs="Calibri"/>
                <w:color w:val="000000"/>
                <w:sz w:val="20"/>
              </w:rPr>
            </w:pPr>
            <w:r w:rsidRPr="005D324B">
              <w:rPr>
                <w:rFonts w:cs="Calibri"/>
                <w:color w:val="000000"/>
                <w:sz w:val="20"/>
              </w:rPr>
              <w:t>37</w:t>
            </w:r>
          </w:p>
        </w:tc>
        <w:tc>
          <w:tcPr>
            <w:tcW w:w="1000" w:type="dxa"/>
            <w:tcBorders>
              <w:top w:val="nil"/>
              <w:left w:val="nil"/>
              <w:bottom w:val="single" w:sz="4" w:space="0" w:color="auto"/>
              <w:right w:val="nil"/>
            </w:tcBorders>
            <w:shd w:val="clear" w:color="auto" w:fill="auto"/>
            <w:noWrap/>
            <w:vAlign w:val="center"/>
            <w:hideMark/>
          </w:tcPr>
          <w:p w14:paraId="26A76B71" w14:textId="77777777" w:rsidR="005D324B" w:rsidRPr="005D324B" w:rsidRDefault="005D324B" w:rsidP="005D324B">
            <w:pPr>
              <w:jc w:val="center"/>
              <w:rPr>
                <w:rFonts w:cs="Calibri"/>
                <w:color w:val="000000"/>
                <w:sz w:val="20"/>
              </w:rPr>
            </w:pPr>
            <w:r w:rsidRPr="005D324B">
              <w:rPr>
                <w:rFonts w:cs="Calibri"/>
                <w:color w:val="000000"/>
                <w:sz w:val="20"/>
              </w:rPr>
              <w:t>37</w:t>
            </w:r>
          </w:p>
        </w:tc>
        <w:tc>
          <w:tcPr>
            <w:tcW w:w="1000" w:type="dxa"/>
            <w:tcBorders>
              <w:top w:val="nil"/>
              <w:left w:val="nil"/>
              <w:bottom w:val="single" w:sz="4" w:space="0" w:color="auto"/>
              <w:right w:val="nil"/>
            </w:tcBorders>
            <w:shd w:val="clear" w:color="auto" w:fill="auto"/>
            <w:noWrap/>
            <w:vAlign w:val="center"/>
            <w:hideMark/>
          </w:tcPr>
          <w:p w14:paraId="7FD18EA3" w14:textId="77777777" w:rsidR="005D324B" w:rsidRPr="005D324B" w:rsidRDefault="005D324B" w:rsidP="005D324B">
            <w:pPr>
              <w:jc w:val="center"/>
              <w:rPr>
                <w:rFonts w:cs="Calibri"/>
                <w:color w:val="000000"/>
                <w:sz w:val="20"/>
              </w:rPr>
            </w:pPr>
            <w:r w:rsidRPr="005D324B">
              <w:rPr>
                <w:rFonts w:cs="Calibri"/>
                <w:color w:val="000000"/>
                <w:sz w:val="20"/>
              </w:rPr>
              <w:t>35</w:t>
            </w:r>
          </w:p>
        </w:tc>
        <w:tc>
          <w:tcPr>
            <w:tcW w:w="927" w:type="dxa"/>
            <w:tcBorders>
              <w:top w:val="nil"/>
              <w:left w:val="nil"/>
              <w:bottom w:val="single" w:sz="4" w:space="0" w:color="auto"/>
              <w:right w:val="nil"/>
            </w:tcBorders>
            <w:shd w:val="clear" w:color="auto" w:fill="auto"/>
            <w:noWrap/>
            <w:vAlign w:val="bottom"/>
            <w:hideMark/>
          </w:tcPr>
          <w:p w14:paraId="2559F316"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06CF4DD1" w14:textId="77777777" w:rsidR="005D324B" w:rsidRPr="005D324B" w:rsidRDefault="005D324B" w:rsidP="005D324B">
            <w:pPr>
              <w:jc w:val="center"/>
              <w:rPr>
                <w:rFonts w:cs="Calibri"/>
                <w:color w:val="000000"/>
                <w:sz w:val="20"/>
              </w:rPr>
            </w:pPr>
            <w:r w:rsidRPr="005D324B">
              <w:rPr>
                <w:rFonts w:cs="Calibri"/>
                <w:color w:val="000000"/>
                <w:sz w:val="20"/>
              </w:rPr>
              <w:t>-10%</w:t>
            </w:r>
          </w:p>
        </w:tc>
      </w:tr>
      <w:tr w:rsidR="005D324B" w:rsidRPr="005D324B" w14:paraId="0BBF7CF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8160260" w14:textId="77777777" w:rsidR="005D324B" w:rsidRPr="005D324B" w:rsidRDefault="005D324B" w:rsidP="005D324B">
            <w:pPr>
              <w:rPr>
                <w:rFonts w:cs="Calibri"/>
                <w:color w:val="000000"/>
                <w:sz w:val="20"/>
              </w:rPr>
            </w:pPr>
            <w:r w:rsidRPr="005D324B">
              <w:rPr>
                <w:rFonts w:cs="Calibri"/>
                <w:color w:val="000000"/>
                <w:sz w:val="20"/>
              </w:rPr>
              <w:t>New Jersey</w:t>
            </w:r>
          </w:p>
        </w:tc>
        <w:tc>
          <w:tcPr>
            <w:tcW w:w="1000" w:type="dxa"/>
            <w:tcBorders>
              <w:top w:val="nil"/>
              <w:left w:val="nil"/>
              <w:bottom w:val="single" w:sz="4" w:space="0" w:color="auto"/>
              <w:right w:val="nil"/>
            </w:tcBorders>
            <w:shd w:val="clear" w:color="auto" w:fill="auto"/>
            <w:noWrap/>
            <w:vAlign w:val="center"/>
            <w:hideMark/>
          </w:tcPr>
          <w:p w14:paraId="5F660FD0" w14:textId="77777777" w:rsidR="005D324B" w:rsidRPr="005D324B" w:rsidRDefault="005D324B" w:rsidP="005D324B">
            <w:pPr>
              <w:jc w:val="center"/>
              <w:rPr>
                <w:rFonts w:cs="Calibri"/>
                <w:color w:val="000000"/>
                <w:sz w:val="20"/>
              </w:rPr>
            </w:pPr>
            <w:r w:rsidRPr="005D324B">
              <w:rPr>
                <w:rFonts w:cs="Calibri"/>
                <w:color w:val="000000"/>
                <w:sz w:val="20"/>
              </w:rPr>
              <w:t>52</w:t>
            </w:r>
          </w:p>
        </w:tc>
        <w:tc>
          <w:tcPr>
            <w:tcW w:w="1000" w:type="dxa"/>
            <w:tcBorders>
              <w:top w:val="nil"/>
              <w:left w:val="nil"/>
              <w:bottom w:val="single" w:sz="4" w:space="0" w:color="auto"/>
              <w:right w:val="nil"/>
            </w:tcBorders>
            <w:shd w:val="clear" w:color="auto" w:fill="auto"/>
            <w:noWrap/>
            <w:vAlign w:val="center"/>
            <w:hideMark/>
          </w:tcPr>
          <w:p w14:paraId="697990D3" w14:textId="77777777" w:rsidR="005D324B" w:rsidRPr="005D324B" w:rsidRDefault="005D324B" w:rsidP="005D324B">
            <w:pPr>
              <w:jc w:val="center"/>
              <w:rPr>
                <w:rFonts w:cs="Calibri"/>
                <w:color w:val="000000"/>
                <w:sz w:val="20"/>
              </w:rPr>
            </w:pPr>
            <w:r w:rsidRPr="005D324B">
              <w:rPr>
                <w:rFonts w:cs="Calibri"/>
                <w:color w:val="000000"/>
                <w:sz w:val="20"/>
              </w:rPr>
              <w:t>49</w:t>
            </w:r>
          </w:p>
        </w:tc>
        <w:tc>
          <w:tcPr>
            <w:tcW w:w="1000" w:type="dxa"/>
            <w:tcBorders>
              <w:top w:val="nil"/>
              <w:left w:val="nil"/>
              <w:bottom w:val="single" w:sz="4" w:space="0" w:color="auto"/>
              <w:right w:val="nil"/>
            </w:tcBorders>
            <w:shd w:val="clear" w:color="auto" w:fill="auto"/>
            <w:noWrap/>
            <w:vAlign w:val="center"/>
            <w:hideMark/>
          </w:tcPr>
          <w:p w14:paraId="77B5EEED" w14:textId="77777777" w:rsidR="005D324B" w:rsidRPr="005D324B" w:rsidRDefault="005D324B" w:rsidP="005D324B">
            <w:pPr>
              <w:jc w:val="center"/>
              <w:rPr>
                <w:rFonts w:cs="Calibri"/>
                <w:color w:val="000000"/>
                <w:sz w:val="20"/>
              </w:rPr>
            </w:pPr>
            <w:r w:rsidRPr="005D324B">
              <w:rPr>
                <w:rFonts w:cs="Calibri"/>
                <w:color w:val="000000"/>
                <w:sz w:val="20"/>
              </w:rPr>
              <w:t>52</w:t>
            </w:r>
          </w:p>
        </w:tc>
        <w:tc>
          <w:tcPr>
            <w:tcW w:w="1000" w:type="dxa"/>
            <w:tcBorders>
              <w:top w:val="nil"/>
              <w:left w:val="nil"/>
              <w:bottom w:val="single" w:sz="4" w:space="0" w:color="auto"/>
              <w:right w:val="nil"/>
            </w:tcBorders>
            <w:shd w:val="clear" w:color="auto" w:fill="auto"/>
            <w:noWrap/>
            <w:vAlign w:val="center"/>
            <w:hideMark/>
          </w:tcPr>
          <w:p w14:paraId="199BF91B" w14:textId="77777777" w:rsidR="005D324B" w:rsidRPr="005D324B" w:rsidRDefault="005D324B" w:rsidP="005D324B">
            <w:pPr>
              <w:jc w:val="center"/>
              <w:rPr>
                <w:rFonts w:cs="Calibri"/>
                <w:color w:val="000000"/>
                <w:sz w:val="20"/>
              </w:rPr>
            </w:pPr>
            <w:r w:rsidRPr="005D324B">
              <w:rPr>
                <w:rFonts w:cs="Calibri"/>
                <w:color w:val="000000"/>
                <w:sz w:val="20"/>
              </w:rPr>
              <w:t>49</w:t>
            </w:r>
          </w:p>
        </w:tc>
        <w:tc>
          <w:tcPr>
            <w:tcW w:w="1000" w:type="dxa"/>
            <w:tcBorders>
              <w:top w:val="nil"/>
              <w:left w:val="nil"/>
              <w:bottom w:val="single" w:sz="4" w:space="0" w:color="auto"/>
              <w:right w:val="nil"/>
            </w:tcBorders>
            <w:shd w:val="clear" w:color="auto" w:fill="auto"/>
            <w:noWrap/>
            <w:vAlign w:val="center"/>
            <w:hideMark/>
          </w:tcPr>
          <w:p w14:paraId="0FB02FCB" w14:textId="77777777" w:rsidR="005D324B" w:rsidRPr="005D324B" w:rsidRDefault="005D324B" w:rsidP="005D324B">
            <w:pPr>
              <w:jc w:val="center"/>
              <w:rPr>
                <w:rFonts w:cs="Calibri"/>
                <w:color w:val="000000"/>
                <w:sz w:val="20"/>
              </w:rPr>
            </w:pPr>
            <w:r w:rsidRPr="005D324B">
              <w:rPr>
                <w:rFonts w:cs="Calibri"/>
                <w:color w:val="000000"/>
                <w:sz w:val="20"/>
              </w:rPr>
              <w:t>46</w:t>
            </w:r>
          </w:p>
        </w:tc>
        <w:tc>
          <w:tcPr>
            <w:tcW w:w="927" w:type="dxa"/>
            <w:tcBorders>
              <w:top w:val="nil"/>
              <w:left w:val="nil"/>
              <w:bottom w:val="single" w:sz="4" w:space="0" w:color="auto"/>
              <w:right w:val="nil"/>
            </w:tcBorders>
            <w:shd w:val="clear" w:color="auto" w:fill="auto"/>
            <w:noWrap/>
            <w:vAlign w:val="bottom"/>
            <w:hideMark/>
          </w:tcPr>
          <w:p w14:paraId="75262DF3" w14:textId="77777777" w:rsidR="005D324B" w:rsidRPr="005D324B" w:rsidRDefault="005D324B" w:rsidP="005D324B">
            <w:pPr>
              <w:jc w:val="center"/>
              <w:rPr>
                <w:rFonts w:cs="Calibri"/>
                <w:color w:val="000000"/>
                <w:sz w:val="20"/>
              </w:rPr>
            </w:pPr>
            <w:r w:rsidRPr="005D324B">
              <w:rPr>
                <w:rFonts w:cs="Calibri"/>
                <w:color w:val="000000"/>
                <w:sz w:val="20"/>
              </w:rPr>
              <w:t>-6</w:t>
            </w:r>
          </w:p>
        </w:tc>
        <w:tc>
          <w:tcPr>
            <w:tcW w:w="1022" w:type="dxa"/>
            <w:tcBorders>
              <w:top w:val="nil"/>
              <w:left w:val="nil"/>
              <w:bottom w:val="single" w:sz="4" w:space="0" w:color="auto"/>
              <w:right w:val="nil"/>
            </w:tcBorders>
            <w:shd w:val="clear" w:color="auto" w:fill="auto"/>
            <w:noWrap/>
            <w:vAlign w:val="bottom"/>
            <w:hideMark/>
          </w:tcPr>
          <w:p w14:paraId="54BDADC0" w14:textId="77777777" w:rsidR="005D324B" w:rsidRPr="005D324B" w:rsidRDefault="005D324B" w:rsidP="005D324B">
            <w:pPr>
              <w:jc w:val="center"/>
              <w:rPr>
                <w:rFonts w:cs="Calibri"/>
                <w:color w:val="000000"/>
                <w:sz w:val="20"/>
              </w:rPr>
            </w:pPr>
            <w:r w:rsidRPr="005D324B">
              <w:rPr>
                <w:rFonts w:cs="Calibri"/>
                <w:color w:val="000000"/>
                <w:sz w:val="20"/>
              </w:rPr>
              <w:t>-12%</w:t>
            </w:r>
          </w:p>
        </w:tc>
      </w:tr>
      <w:tr w:rsidR="005D324B" w:rsidRPr="005D324B" w14:paraId="78BF31FA"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C28C307" w14:textId="77777777" w:rsidR="005D324B" w:rsidRPr="005D324B" w:rsidRDefault="005D324B" w:rsidP="005D324B">
            <w:pPr>
              <w:rPr>
                <w:rFonts w:cs="Calibri"/>
                <w:color w:val="000000"/>
                <w:sz w:val="20"/>
              </w:rPr>
            </w:pPr>
            <w:r w:rsidRPr="005D324B">
              <w:rPr>
                <w:rFonts w:cs="Calibri"/>
                <w:color w:val="000000"/>
                <w:sz w:val="20"/>
              </w:rPr>
              <w:t>New Mexico</w:t>
            </w:r>
          </w:p>
        </w:tc>
        <w:tc>
          <w:tcPr>
            <w:tcW w:w="1000" w:type="dxa"/>
            <w:tcBorders>
              <w:top w:val="nil"/>
              <w:left w:val="nil"/>
              <w:bottom w:val="single" w:sz="4" w:space="0" w:color="auto"/>
              <w:right w:val="nil"/>
            </w:tcBorders>
            <w:shd w:val="clear" w:color="auto" w:fill="auto"/>
            <w:noWrap/>
            <w:vAlign w:val="center"/>
            <w:hideMark/>
          </w:tcPr>
          <w:p w14:paraId="52CEB417" w14:textId="77777777" w:rsidR="005D324B" w:rsidRPr="005D324B" w:rsidRDefault="005D324B" w:rsidP="005D324B">
            <w:pPr>
              <w:jc w:val="center"/>
              <w:rPr>
                <w:rFonts w:cs="Calibri"/>
                <w:color w:val="000000"/>
                <w:sz w:val="20"/>
              </w:rPr>
            </w:pPr>
            <w:r w:rsidRPr="005D324B">
              <w:rPr>
                <w:rFonts w:cs="Calibri"/>
                <w:color w:val="000000"/>
                <w:sz w:val="20"/>
              </w:rPr>
              <w:t>66</w:t>
            </w:r>
          </w:p>
        </w:tc>
        <w:tc>
          <w:tcPr>
            <w:tcW w:w="1000" w:type="dxa"/>
            <w:tcBorders>
              <w:top w:val="nil"/>
              <w:left w:val="nil"/>
              <w:bottom w:val="single" w:sz="4" w:space="0" w:color="auto"/>
              <w:right w:val="nil"/>
            </w:tcBorders>
            <w:shd w:val="clear" w:color="auto" w:fill="auto"/>
            <w:noWrap/>
            <w:vAlign w:val="center"/>
            <w:hideMark/>
          </w:tcPr>
          <w:p w14:paraId="5EDFBA4F" w14:textId="77777777" w:rsidR="005D324B" w:rsidRPr="005D324B" w:rsidRDefault="005D324B" w:rsidP="005D324B">
            <w:pPr>
              <w:jc w:val="center"/>
              <w:rPr>
                <w:rFonts w:cs="Calibri"/>
                <w:color w:val="000000"/>
                <w:sz w:val="20"/>
              </w:rPr>
            </w:pPr>
            <w:r w:rsidRPr="005D324B">
              <w:rPr>
                <w:rFonts w:cs="Calibri"/>
                <w:color w:val="000000"/>
                <w:sz w:val="20"/>
              </w:rPr>
              <w:t>67</w:t>
            </w:r>
          </w:p>
        </w:tc>
        <w:tc>
          <w:tcPr>
            <w:tcW w:w="1000" w:type="dxa"/>
            <w:tcBorders>
              <w:top w:val="nil"/>
              <w:left w:val="nil"/>
              <w:bottom w:val="single" w:sz="4" w:space="0" w:color="auto"/>
              <w:right w:val="nil"/>
            </w:tcBorders>
            <w:shd w:val="clear" w:color="auto" w:fill="auto"/>
            <w:noWrap/>
            <w:vAlign w:val="center"/>
            <w:hideMark/>
          </w:tcPr>
          <w:p w14:paraId="47FB4E60" w14:textId="77777777" w:rsidR="005D324B" w:rsidRPr="005D324B" w:rsidRDefault="005D324B" w:rsidP="005D324B">
            <w:pPr>
              <w:jc w:val="center"/>
              <w:rPr>
                <w:rFonts w:cs="Calibri"/>
                <w:color w:val="000000"/>
                <w:sz w:val="20"/>
              </w:rPr>
            </w:pPr>
            <w:r w:rsidRPr="005D324B">
              <w:rPr>
                <w:rFonts w:cs="Calibri"/>
                <w:color w:val="000000"/>
                <w:sz w:val="20"/>
              </w:rPr>
              <w:t>69</w:t>
            </w:r>
          </w:p>
        </w:tc>
        <w:tc>
          <w:tcPr>
            <w:tcW w:w="1000" w:type="dxa"/>
            <w:tcBorders>
              <w:top w:val="nil"/>
              <w:left w:val="nil"/>
              <w:bottom w:val="single" w:sz="4" w:space="0" w:color="auto"/>
              <w:right w:val="nil"/>
            </w:tcBorders>
            <w:shd w:val="clear" w:color="auto" w:fill="auto"/>
            <w:noWrap/>
            <w:vAlign w:val="center"/>
            <w:hideMark/>
          </w:tcPr>
          <w:p w14:paraId="0EFAA560" w14:textId="77777777" w:rsidR="005D324B" w:rsidRPr="005D324B" w:rsidRDefault="005D324B" w:rsidP="005D324B">
            <w:pPr>
              <w:jc w:val="center"/>
              <w:rPr>
                <w:rFonts w:cs="Calibri"/>
                <w:color w:val="000000"/>
                <w:sz w:val="20"/>
              </w:rPr>
            </w:pPr>
            <w:r w:rsidRPr="005D324B">
              <w:rPr>
                <w:rFonts w:cs="Calibri"/>
                <w:color w:val="000000"/>
                <w:sz w:val="20"/>
              </w:rPr>
              <w:t>68</w:t>
            </w:r>
          </w:p>
        </w:tc>
        <w:tc>
          <w:tcPr>
            <w:tcW w:w="1000" w:type="dxa"/>
            <w:tcBorders>
              <w:top w:val="nil"/>
              <w:left w:val="nil"/>
              <w:bottom w:val="single" w:sz="4" w:space="0" w:color="auto"/>
              <w:right w:val="nil"/>
            </w:tcBorders>
            <w:shd w:val="clear" w:color="auto" w:fill="auto"/>
            <w:noWrap/>
            <w:vAlign w:val="center"/>
            <w:hideMark/>
          </w:tcPr>
          <w:p w14:paraId="40A707F3" w14:textId="77777777" w:rsidR="005D324B" w:rsidRPr="005D324B" w:rsidRDefault="005D324B" w:rsidP="005D324B">
            <w:pPr>
              <w:jc w:val="center"/>
              <w:rPr>
                <w:rFonts w:cs="Calibri"/>
                <w:color w:val="000000"/>
                <w:sz w:val="20"/>
              </w:rPr>
            </w:pPr>
            <w:r w:rsidRPr="005D324B">
              <w:rPr>
                <w:rFonts w:cs="Calibri"/>
                <w:color w:val="000000"/>
                <w:sz w:val="20"/>
              </w:rPr>
              <w:t>63</w:t>
            </w:r>
          </w:p>
        </w:tc>
        <w:tc>
          <w:tcPr>
            <w:tcW w:w="927" w:type="dxa"/>
            <w:tcBorders>
              <w:top w:val="nil"/>
              <w:left w:val="nil"/>
              <w:bottom w:val="single" w:sz="4" w:space="0" w:color="auto"/>
              <w:right w:val="nil"/>
            </w:tcBorders>
            <w:shd w:val="clear" w:color="auto" w:fill="auto"/>
            <w:noWrap/>
            <w:vAlign w:val="bottom"/>
            <w:hideMark/>
          </w:tcPr>
          <w:p w14:paraId="62E8D855"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19C013AA" w14:textId="77777777" w:rsidR="005D324B" w:rsidRPr="005D324B" w:rsidRDefault="005D324B" w:rsidP="005D324B">
            <w:pPr>
              <w:jc w:val="center"/>
              <w:rPr>
                <w:rFonts w:cs="Calibri"/>
                <w:color w:val="000000"/>
                <w:sz w:val="20"/>
              </w:rPr>
            </w:pPr>
            <w:r w:rsidRPr="005D324B">
              <w:rPr>
                <w:rFonts w:cs="Calibri"/>
                <w:color w:val="000000"/>
                <w:sz w:val="20"/>
              </w:rPr>
              <w:t>-5%</w:t>
            </w:r>
          </w:p>
        </w:tc>
      </w:tr>
      <w:tr w:rsidR="005D324B" w:rsidRPr="005D324B" w14:paraId="76BB2172"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9ED4020" w14:textId="77777777" w:rsidR="005D324B" w:rsidRPr="005D324B" w:rsidRDefault="005D324B" w:rsidP="005D324B">
            <w:pPr>
              <w:rPr>
                <w:rFonts w:cs="Calibri"/>
                <w:color w:val="000000"/>
                <w:sz w:val="20"/>
              </w:rPr>
            </w:pPr>
            <w:r w:rsidRPr="005D324B">
              <w:rPr>
                <w:rFonts w:cs="Calibri"/>
                <w:color w:val="000000"/>
                <w:sz w:val="20"/>
              </w:rPr>
              <w:t>New York</w:t>
            </w:r>
          </w:p>
        </w:tc>
        <w:tc>
          <w:tcPr>
            <w:tcW w:w="1000" w:type="dxa"/>
            <w:tcBorders>
              <w:top w:val="nil"/>
              <w:left w:val="nil"/>
              <w:bottom w:val="single" w:sz="4" w:space="0" w:color="auto"/>
              <w:right w:val="nil"/>
            </w:tcBorders>
            <w:shd w:val="clear" w:color="auto" w:fill="auto"/>
            <w:noWrap/>
            <w:vAlign w:val="center"/>
            <w:hideMark/>
          </w:tcPr>
          <w:p w14:paraId="7DC1F2A6" w14:textId="77777777" w:rsidR="005D324B" w:rsidRPr="005D324B" w:rsidRDefault="005D324B" w:rsidP="005D324B">
            <w:pPr>
              <w:jc w:val="center"/>
              <w:rPr>
                <w:rFonts w:cs="Calibri"/>
                <w:color w:val="000000"/>
                <w:sz w:val="20"/>
              </w:rPr>
            </w:pPr>
            <w:r w:rsidRPr="005D324B">
              <w:rPr>
                <w:rFonts w:cs="Calibri"/>
                <w:color w:val="000000"/>
                <w:sz w:val="20"/>
              </w:rPr>
              <w:t>142</w:t>
            </w:r>
          </w:p>
        </w:tc>
        <w:tc>
          <w:tcPr>
            <w:tcW w:w="1000" w:type="dxa"/>
            <w:tcBorders>
              <w:top w:val="nil"/>
              <w:left w:val="nil"/>
              <w:bottom w:val="single" w:sz="4" w:space="0" w:color="auto"/>
              <w:right w:val="nil"/>
            </w:tcBorders>
            <w:shd w:val="clear" w:color="auto" w:fill="auto"/>
            <w:noWrap/>
            <w:vAlign w:val="center"/>
            <w:hideMark/>
          </w:tcPr>
          <w:p w14:paraId="1486C125" w14:textId="77777777" w:rsidR="005D324B" w:rsidRPr="005D324B" w:rsidRDefault="005D324B" w:rsidP="005D324B">
            <w:pPr>
              <w:jc w:val="center"/>
              <w:rPr>
                <w:rFonts w:cs="Calibri"/>
                <w:color w:val="000000"/>
                <w:sz w:val="20"/>
              </w:rPr>
            </w:pPr>
            <w:r w:rsidRPr="005D324B">
              <w:rPr>
                <w:rFonts w:cs="Calibri"/>
                <w:color w:val="000000"/>
                <w:sz w:val="20"/>
              </w:rPr>
              <w:t>135</w:t>
            </w:r>
          </w:p>
        </w:tc>
        <w:tc>
          <w:tcPr>
            <w:tcW w:w="1000" w:type="dxa"/>
            <w:tcBorders>
              <w:top w:val="nil"/>
              <w:left w:val="nil"/>
              <w:bottom w:val="single" w:sz="4" w:space="0" w:color="auto"/>
              <w:right w:val="nil"/>
            </w:tcBorders>
            <w:shd w:val="clear" w:color="auto" w:fill="auto"/>
            <w:noWrap/>
            <w:vAlign w:val="center"/>
            <w:hideMark/>
          </w:tcPr>
          <w:p w14:paraId="10AC5F38" w14:textId="77777777" w:rsidR="005D324B" w:rsidRPr="005D324B" w:rsidRDefault="005D324B" w:rsidP="005D324B">
            <w:pPr>
              <w:jc w:val="center"/>
              <w:rPr>
                <w:rFonts w:cs="Calibri"/>
                <w:color w:val="000000"/>
                <w:sz w:val="20"/>
              </w:rPr>
            </w:pPr>
            <w:r w:rsidRPr="005D324B">
              <w:rPr>
                <w:rFonts w:cs="Calibri"/>
                <w:color w:val="000000"/>
                <w:sz w:val="20"/>
              </w:rPr>
              <w:t>132</w:t>
            </w:r>
          </w:p>
        </w:tc>
        <w:tc>
          <w:tcPr>
            <w:tcW w:w="1000" w:type="dxa"/>
            <w:tcBorders>
              <w:top w:val="nil"/>
              <w:left w:val="nil"/>
              <w:bottom w:val="single" w:sz="4" w:space="0" w:color="auto"/>
              <w:right w:val="nil"/>
            </w:tcBorders>
            <w:shd w:val="clear" w:color="auto" w:fill="auto"/>
            <w:noWrap/>
            <w:vAlign w:val="center"/>
            <w:hideMark/>
          </w:tcPr>
          <w:p w14:paraId="3FCD925A" w14:textId="77777777" w:rsidR="005D324B" w:rsidRPr="005D324B" w:rsidRDefault="005D324B" w:rsidP="005D324B">
            <w:pPr>
              <w:jc w:val="center"/>
              <w:rPr>
                <w:rFonts w:cs="Calibri"/>
                <w:color w:val="000000"/>
                <w:sz w:val="20"/>
              </w:rPr>
            </w:pPr>
            <w:r w:rsidRPr="005D324B">
              <w:rPr>
                <w:rFonts w:cs="Calibri"/>
                <w:color w:val="000000"/>
                <w:sz w:val="20"/>
              </w:rPr>
              <w:t>131</w:t>
            </w:r>
          </w:p>
        </w:tc>
        <w:tc>
          <w:tcPr>
            <w:tcW w:w="1000" w:type="dxa"/>
            <w:tcBorders>
              <w:top w:val="nil"/>
              <w:left w:val="nil"/>
              <w:bottom w:val="single" w:sz="4" w:space="0" w:color="auto"/>
              <w:right w:val="nil"/>
            </w:tcBorders>
            <w:shd w:val="clear" w:color="auto" w:fill="auto"/>
            <w:noWrap/>
            <w:vAlign w:val="center"/>
            <w:hideMark/>
          </w:tcPr>
          <w:p w14:paraId="4C746A93" w14:textId="77777777" w:rsidR="005D324B" w:rsidRPr="005D324B" w:rsidRDefault="005D324B" w:rsidP="005D324B">
            <w:pPr>
              <w:jc w:val="center"/>
              <w:rPr>
                <w:rFonts w:cs="Calibri"/>
                <w:color w:val="000000"/>
                <w:sz w:val="20"/>
              </w:rPr>
            </w:pPr>
            <w:r w:rsidRPr="005D324B">
              <w:rPr>
                <w:rFonts w:cs="Calibri"/>
                <w:color w:val="000000"/>
                <w:sz w:val="20"/>
              </w:rPr>
              <w:t>123</w:t>
            </w:r>
          </w:p>
        </w:tc>
        <w:tc>
          <w:tcPr>
            <w:tcW w:w="927" w:type="dxa"/>
            <w:tcBorders>
              <w:top w:val="nil"/>
              <w:left w:val="nil"/>
              <w:bottom w:val="single" w:sz="4" w:space="0" w:color="auto"/>
              <w:right w:val="nil"/>
            </w:tcBorders>
            <w:shd w:val="clear" w:color="auto" w:fill="auto"/>
            <w:noWrap/>
            <w:vAlign w:val="bottom"/>
            <w:hideMark/>
          </w:tcPr>
          <w:p w14:paraId="2929681D" w14:textId="77777777" w:rsidR="005D324B" w:rsidRPr="005D324B" w:rsidRDefault="005D324B" w:rsidP="005D324B">
            <w:pPr>
              <w:jc w:val="center"/>
              <w:rPr>
                <w:rFonts w:cs="Calibri"/>
                <w:color w:val="000000"/>
                <w:sz w:val="20"/>
              </w:rPr>
            </w:pPr>
            <w:r w:rsidRPr="005D324B">
              <w:rPr>
                <w:rFonts w:cs="Calibri"/>
                <w:color w:val="000000"/>
                <w:sz w:val="20"/>
              </w:rPr>
              <w:t>-19</w:t>
            </w:r>
          </w:p>
        </w:tc>
        <w:tc>
          <w:tcPr>
            <w:tcW w:w="1022" w:type="dxa"/>
            <w:tcBorders>
              <w:top w:val="nil"/>
              <w:left w:val="nil"/>
              <w:bottom w:val="single" w:sz="4" w:space="0" w:color="auto"/>
              <w:right w:val="nil"/>
            </w:tcBorders>
            <w:shd w:val="clear" w:color="auto" w:fill="auto"/>
            <w:noWrap/>
            <w:vAlign w:val="bottom"/>
            <w:hideMark/>
          </w:tcPr>
          <w:p w14:paraId="348BEACA" w14:textId="77777777" w:rsidR="005D324B" w:rsidRPr="005D324B" w:rsidRDefault="005D324B" w:rsidP="005D324B">
            <w:pPr>
              <w:jc w:val="center"/>
              <w:rPr>
                <w:rFonts w:cs="Calibri"/>
                <w:color w:val="000000"/>
                <w:sz w:val="20"/>
              </w:rPr>
            </w:pPr>
            <w:r w:rsidRPr="005D324B">
              <w:rPr>
                <w:rFonts w:cs="Calibri"/>
                <w:color w:val="000000"/>
                <w:sz w:val="20"/>
              </w:rPr>
              <w:t>-13%</w:t>
            </w:r>
          </w:p>
        </w:tc>
      </w:tr>
      <w:tr w:rsidR="005D324B" w:rsidRPr="005D324B" w14:paraId="0D005F2C"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03FEF8FF" w14:textId="77777777" w:rsidR="005D324B" w:rsidRPr="005D324B" w:rsidRDefault="005D324B" w:rsidP="005D324B">
            <w:pPr>
              <w:rPr>
                <w:rFonts w:cs="Calibri"/>
                <w:color w:val="000000"/>
                <w:sz w:val="20"/>
              </w:rPr>
            </w:pPr>
            <w:r w:rsidRPr="005D324B">
              <w:rPr>
                <w:rFonts w:cs="Calibri"/>
                <w:color w:val="000000"/>
                <w:sz w:val="20"/>
              </w:rPr>
              <w:t>North Carolina</w:t>
            </w:r>
          </w:p>
        </w:tc>
        <w:tc>
          <w:tcPr>
            <w:tcW w:w="1000" w:type="dxa"/>
            <w:tcBorders>
              <w:top w:val="nil"/>
              <w:left w:val="nil"/>
              <w:bottom w:val="single" w:sz="4" w:space="0" w:color="auto"/>
              <w:right w:val="nil"/>
            </w:tcBorders>
            <w:shd w:val="clear" w:color="auto" w:fill="auto"/>
            <w:noWrap/>
            <w:vAlign w:val="center"/>
            <w:hideMark/>
          </w:tcPr>
          <w:p w14:paraId="67A2F55F" w14:textId="77777777" w:rsidR="005D324B" w:rsidRPr="005D324B" w:rsidRDefault="005D324B" w:rsidP="005D324B">
            <w:pPr>
              <w:jc w:val="center"/>
              <w:rPr>
                <w:rFonts w:cs="Calibri"/>
                <w:color w:val="000000"/>
                <w:sz w:val="20"/>
              </w:rPr>
            </w:pPr>
            <w:r w:rsidRPr="005D324B">
              <w:rPr>
                <w:rFonts w:cs="Calibri"/>
                <w:color w:val="000000"/>
                <w:sz w:val="20"/>
              </w:rPr>
              <w:t>173</w:t>
            </w:r>
          </w:p>
        </w:tc>
        <w:tc>
          <w:tcPr>
            <w:tcW w:w="1000" w:type="dxa"/>
            <w:tcBorders>
              <w:top w:val="nil"/>
              <w:left w:val="nil"/>
              <w:bottom w:val="single" w:sz="4" w:space="0" w:color="auto"/>
              <w:right w:val="nil"/>
            </w:tcBorders>
            <w:shd w:val="clear" w:color="auto" w:fill="auto"/>
            <w:noWrap/>
            <w:vAlign w:val="center"/>
            <w:hideMark/>
          </w:tcPr>
          <w:p w14:paraId="71AC3A31" w14:textId="77777777" w:rsidR="005D324B" w:rsidRPr="005D324B" w:rsidRDefault="005D324B" w:rsidP="005D324B">
            <w:pPr>
              <w:jc w:val="center"/>
              <w:rPr>
                <w:rFonts w:cs="Calibri"/>
                <w:color w:val="000000"/>
                <w:sz w:val="20"/>
              </w:rPr>
            </w:pPr>
            <w:r w:rsidRPr="005D324B">
              <w:rPr>
                <w:rFonts w:cs="Calibri"/>
                <w:color w:val="000000"/>
                <w:sz w:val="20"/>
              </w:rPr>
              <w:t>166</w:t>
            </w:r>
          </w:p>
        </w:tc>
        <w:tc>
          <w:tcPr>
            <w:tcW w:w="1000" w:type="dxa"/>
            <w:tcBorders>
              <w:top w:val="nil"/>
              <w:left w:val="nil"/>
              <w:bottom w:val="single" w:sz="4" w:space="0" w:color="auto"/>
              <w:right w:val="nil"/>
            </w:tcBorders>
            <w:shd w:val="clear" w:color="auto" w:fill="auto"/>
            <w:noWrap/>
            <w:vAlign w:val="center"/>
            <w:hideMark/>
          </w:tcPr>
          <w:p w14:paraId="77414D3A" w14:textId="77777777" w:rsidR="005D324B" w:rsidRPr="005D324B" w:rsidRDefault="005D324B" w:rsidP="005D324B">
            <w:pPr>
              <w:jc w:val="center"/>
              <w:rPr>
                <w:rFonts w:cs="Calibri"/>
                <w:color w:val="000000"/>
                <w:sz w:val="20"/>
              </w:rPr>
            </w:pPr>
            <w:r w:rsidRPr="005D324B">
              <w:rPr>
                <w:rFonts w:cs="Calibri"/>
                <w:color w:val="000000"/>
                <w:sz w:val="20"/>
              </w:rPr>
              <w:t>166</w:t>
            </w:r>
          </w:p>
        </w:tc>
        <w:tc>
          <w:tcPr>
            <w:tcW w:w="1000" w:type="dxa"/>
            <w:tcBorders>
              <w:top w:val="nil"/>
              <w:left w:val="nil"/>
              <w:bottom w:val="single" w:sz="4" w:space="0" w:color="auto"/>
              <w:right w:val="nil"/>
            </w:tcBorders>
            <w:shd w:val="clear" w:color="auto" w:fill="auto"/>
            <w:noWrap/>
            <w:vAlign w:val="center"/>
            <w:hideMark/>
          </w:tcPr>
          <w:p w14:paraId="1F3CABC6" w14:textId="77777777" w:rsidR="005D324B" w:rsidRPr="005D324B" w:rsidRDefault="005D324B" w:rsidP="005D324B">
            <w:pPr>
              <w:jc w:val="center"/>
              <w:rPr>
                <w:rFonts w:cs="Calibri"/>
                <w:color w:val="000000"/>
                <w:sz w:val="20"/>
              </w:rPr>
            </w:pPr>
            <w:r w:rsidRPr="005D324B">
              <w:rPr>
                <w:rFonts w:cs="Calibri"/>
                <w:color w:val="000000"/>
                <w:sz w:val="20"/>
              </w:rPr>
              <w:t>160</w:t>
            </w:r>
          </w:p>
        </w:tc>
        <w:tc>
          <w:tcPr>
            <w:tcW w:w="1000" w:type="dxa"/>
            <w:tcBorders>
              <w:top w:val="nil"/>
              <w:left w:val="nil"/>
              <w:bottom w:val="single" w:sz="4" w:space="0" w:color="auto"/>
              <w:right w:val="nil"/>
            </w:tcBorders>
            <w:shd w:val="clear" w:color="auto" w:fill="auto"/>
            <w:noWrap/>
            <w:vAlign w:val="center"/>
            <w:hideMark/>
          </w:tcPr>
          <w:p w14:paraId="75968E96" w14:textId="77777777" w:rsidR="005D324B" w:rsidRPr="005D324B" w:rsidRDefault="005D324B" w:rsidP="005D324B">
            <w:pPr>
              <w:jc w:val="center"/>
              <w:rPr>
                <w:rFonts w:cs="Calibri"/>
                <w:color w:val="000000"/>
                <w:sz w:val="20"/>
              </w:rPr>
            </w:pPr>
            <w:r w:rsidRPr="005D324B">
              <w:rPr>
                <w:rFonts w:cs="Calibri"/>
                <w:color w:val="000000"/>
                <w:sz w:val="20"/>
              </w:rPr>
              <w:t>157</w:t>
            </w:r>
          </w:p>
        </w:tc>
        <w:tc>
          <w:tcPr>
            <w:tcW w:w="927" w:type="dxa"/>
            <w:tcBorders>
              <w:top w:val="nil"/>
              <w:left w:val="nil"/>
              <w:bottom w:val="single" w:sz="4" w:space="0" w:color="auto"/>
              <w:right w:val="nil"/>
            </w:tcBorders>
            <w:shd w:val="clear" w:color="auto" w:fill="auto"/>
            <w:noWrap/>
            <w:vAlign w:val="bottom"/>
            <w:hideMark/>
          </w:tcPr>
          <w:p w14:paraId="2BE91185"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22" w:type="dxa"/>
            <w:tcBorders>
              <w:top w:val="nil"/>
              <w:left w:val="nil"/>
              <w:bottom w:val="single" w:sz="4" w:space="0" w:color="auto"/>
              <w:right w:val="nil"/>
            </w:tcBorders>
            <w:shd w:val="clear" w:color="auto" w:fill="auto"/>
            <w:noWrap/>
            <w:vAlign w:val="bottom"/>
            <w:hideMark/>
          </w:tcPr>
          <w:p w14:paraId="2751ED11" w14:textId="77777777" w:rsidR="005D324B" w:rsidRPr="005D324B" w:rsidRDefault="005D324B" w:rsidP="005D324B">
            <w:pPr>
              <w:jc w:val="center"/>
              <w:rPr>
                <w:rFonts w:cs="Calibri"/>
                <w:color w:val="000000"/>
                <w:sz w:val="20"/>
              </w:rPr>
            </w:pPr>
            <w:r w:rsidRPr="005D324B">
              <w:rPr>
                <w:rFonts w:cs="Calibri"/>
                <w:color w:val="000000"/>
                <w:sz w:val="20"/>
              </w:rPr>
              <w:t>-9%</w:t>
            </w:r>
          </w:p>
        </w:tc>
      </w:tr>
      <w:tr w:rsidR="005D324B" w:rsidRPr="005D324B" w14:paraId="670C4394"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24FE516" w14:textId="77777777" w:rsidR="005D324B" w:rsidRPr="005D324B" w:rsidRDefault="005D324B" w:rsidP="005D324B">
            <w:pPr>
              <w:rPr>
                <w:rFonts w:cs="Calibri"/>
                <w:color w:val="000000"/>
                <w:sz w:val="20"/>
              </w:rPr>
            </w:pPr>
            <w:r w:rsidRPr="005D324B">
              <w:rPr>
                <w:rFonts w:cs="Calibri"/>
                <w:color w:val="000000"/>
                <w:sz w:val="20"/>
              </w:rPr>
              <w:t>North Dakota</w:t>
            </w:r>
          </w:p>
        </w:tc>
        <w:tc>
          <w:tcPr>
            <w:tcW w:w="1000" w:type="dxa"/>
            <w:tcBorders>
              <w:top w:val="nil"/>
              <w:left w:val="nil"/>
              <w:bottom w:val="single" w:sz="4" w:space="0" w:color="auto"/>
              <w:right w:val="nil"/>
            </w:tcBorders>
            <w:shd w:val="clear" w:color="auto" w:fill="auto"/>
            <w:noWrap/>
            <w:vAlign w:val="center"/>
            <w:hideMark/>
          </w:tcPr>
          <w:p w14:paraId="2E146F7C" w14:textId="77777777" w:rsidR="005D324B" w:rsidRPr="005D324B" w:rsidRDefault="005D324B" w:rsidP="005D324B">
            <w:pPr>
              <w:jc w:val="center"/>
              <w:rPr>
                <w:rFonts w:cs="Calibri"/>
                <w:color w:val="000000"/>
                <w:sz w:val="20"/>
              </w:rPr>
            </w:pPr>
            <w:r w:rsidRPr="005D324B">
              <w:rPr>
                <w:rFonts w:cs="Calibri"/>
                <w:color w:val="000000"/>
                <w:sz w:val="20"/>
              </w:rPr>
              <w:t>18</w:t>
            </w:r>
          </w:p>
        </w:tc>
        <w:tc>
          <w:tcPr>
            <w:tcW w:w="1000" w:type="dxa"/>
            <w:tcBorders>
              <w:top w:val="nil"/>
              <w:left w:val="nil"/>
              <w:bottom w:val="single" w:sz="4" w:space="0" w:color="auto"/>
              <w:right w:val="nil"/>
            </w:tcBorders>
            <w:shd w:val="clear" w:color="auto" w:fill="auto"/>
            <w:noWrap/>
            <w:vAlign w:val="center"/>
            <w:hideMark/>
          </w:tcPr>
          <w:p w14:paraId="6105B080" w14:textId="77777777" w:rsidR="005D324B" w:rsidRPr="005D324B" w:rsidRDefault="005D324B" w:rsidP="005D324B">
            <w:pPr>
              <w:jc w:val="center"/>
              <w:rPr>
                <w:rFonts w:cs="Calibri"/>
                <w:color w:val="000000"/>
                <w:sz w:val="20"/>
              </w:rPr>
            </w:pPr>
            <w:r w:rsidRPr="005D324B">
              <w:rPr>
                <w:rFonts w:cs="Calibri"/>
                <w:color w:val="000000"/>
                <w:sz w:val="20"/>
              </w:rPr>
              <w:t>17</w:t>
            </w:r>
          </w:p>
        </w:tc>
        <w:tc>
          <w:tcPr>
            <w:tcW w:w="1000" w:type="dxa"/>
            <w:tcBorders>
              <w:top w:val="nil"/>
              <w:left w:val="nil"/>
              <w:bottom w:val="single" w:sz="4" w:space="0" w:color="auto"/>
              <w:right w:val="nil"/>
            </w:tcBorders>
            <w:shd w:val="clear" w:color="auto" w:fill="auto"/>
            <w:noWrap/>
            <w:vAlign w:val="center"/>
            <w:hideMark/>
          </w:tcPr>
          <w:p w14:paraId="32511124" w14:textId="77777777" w:rsidR="005D324B" w:rsidRPr="005D324B" w:rsidRDefault="005D324B" w:rsidP="005D324B">
            <w:pPr>
              <w:jc w:val="center"/>
              <w:rPr>
                <w:rFonts w:cs="Calibri"/>
                <w:color w:val="000000"/>
                <w:sz w:val="20"/>
              </w:rPr>
            </w:pPr>
            <w:r w:rsidRPr="005D324B">
              <w:rPr>
                <w:rFonts w:cs="Calibri"/>
                <w:color w:val="000000"/>
                <w:sz w:val="20"/>
              </w:rPr>
              <w:t>18</w:t>
            </w:r>
          </w:p>
        </w:tc>
        <w:tc>
          <w:tcPr>
            <w:tcW w:w="1000" w:type="dxa"/>
            <w:tcBorders>
              <w:top w:val="nil"/>
              <w:left w:val="nil"/>
              <w:bottom w:val="single" w:sz="4" w:space="0" w:color="auto"/>
              <w:right w:val="nil"/>
            </w:tcBorders>
            <w:shd w:val="clear" w:color="auto" w:fill="auto"/>
            <w:noWrap/>
            <w:vAlign w:val="center"/>
            <w:hideMark/>
          </w:tcPr>
          <w:p w14:paraId="6B0B6878"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00" w:type="dxa"/>
            <w:tcBorders>
              <w:top w:val="nil"/>
              <w:left w:val="nil"/>
              <w:bottom w:val="single" w:sz="4" w:space="0" w:color="auto"/>
              <w:right w:val="nil"/>
            </w:tcBorders>
            <w:shd w:val="clear" w:color="auto" w:fill="auto"/>
            <w:noWrap/>
            <w:vAlign w:val="center"/>
            <w:hideMark/>
          </w:tcPr>
          <w:p w14:paraId="2FB3ADFE"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927" w:type="dxa"/>
            <w:tcBorders>
              <w:top w:val="nil"/>
              <w:left w:val="nil"/>
              <w:bottom w:val="single" w:sz="4" w:space="0" w:color="auto"/>
              <w:right w:val="nil"/>
            </w:tcBorders>
            <w:shd w:val="clear" w:color="auto" w:fill="auto"/>
            <w:noWrap/>
            <w:vAlign w:val="bottom"/>
            <w:hideMark/>
          </w:tcPr>
          <w:p w14:paraId="1B26C06B" w14:textId="77777777" w:rsidR="005D324B" w:rsidRPr="005D324B" w:rsidRDefault="005D324B" w:rsidP="005D324B">
            <w:pPr>
              <w:jc w:val="center"/>
              <w:rPr>
                <w:rFonts w:cs="Calibri"/>
                <w:color w:val="000000"/>
                <w:sz w:val="20"/>
              </w:rPr>
            </w:pPr>
            <w:r w:rsidRPr="005D324B">
              <w:rPr>
                <w:rFonts w:cs="Calibri"/>
                <w:color w:val="000000"/>
                <w:sz w:val="20"/>
              </w:rPr>
              <w:t>-2</w:t>
            </w:r>
          </w:p>
        </w:tc>
        <w:tc>
          <w:tcPr>
            <w:tcW w:w="1022" w:type="dxa"/>
            <w:tcBorders>
              <w:top w:val="nil"/>
              <w:left w:val="nil"/>
              <w:bottom w:val="single" w:sz="4" w:space="0" w:color="auto"/>
              <w:right w:val="nil"/>
            </w:tcBorders>
            <w:shd w:val="clear" w:color="auto" w:fill="auto"/>
            <w:noWrap/>
            <w:vAlign w:val="bottom"/>
            <w:hideMark/>
          </w:tcPr>
          <w:p w14:paraId="38B085DD" w14:textId="77777777" w:rsidR="005D324B" w:rsidRPr="005D324B" w:rsidRDefault="005D324B" w:rsidP="005D324B">
            <w:pPr>
              <w:jc w:val="center"/>
              <w:rPr>
                <w:rFonts w:cs="Calibri"/>
                <w:color w:val="000000"/>
                <w:sz w:val="20"/>
              </w:rPr>
            </w:pPr>
            <w:r w:rsidRPr="005D324B">
              <w:rPr>
                <w:rFonts w:cs="Calibri"/>
                <w:color w:val="000000"/>
                <w:sz w:val="20"/>
              </w:rPr>
              <w:t>-11%</w:t>
            </w:r>
          </w:p>
        </w:tc>
      </w:tr>
      <w:tr w:rsidR="005D324B" w:rsidRPr="005D324B" w14:paraId="095FEE2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C896BDE" w14:textId="77777777" w:rsidR="005D324B" w:rsidRPr="005D324B" w:rsidRDefault="005D324B" w:rsidP="005D324B">
            <w:pPr>
              <w:rPr>
                <w:rFonts w:cs="Calibri"/>
                <w:color w:val="000000"/>
                <w:sz w:val="20"/>
              </w:rPr>
            </w:pPr>
            <w:r w:rsidRPr="005D324B">
              <w:rPr>
                <w:rFonts w:cs="Calibri"/>
                <w:color w:val="000000"/>
                <w:sz w:val="20"/>
              </w:rPr>
              <w:t>Ohio</w:t>
            </w:r>
          </w:p>
        </w:tc>
        <w:tc>
          <w:tcPr>
            <w:tcW w:w="1000" w:type="dxa"/>
            <w:tcBorders>
              <w:top w:val="nil"/>
              <w:left w:val="nil"/>
              <w:bottom w:val="single" w:sz="4" w:space="0" w:color="auto"/>
              <w:right w:val="nil"/>
            </w:tcBorders>
            <w:shd w:val="clear" w:color="auto" w:fill="auto"/>
            <w:noWrap/>
            <w:vAlign w:val="center"/>
            <w:hideMark/>
          </w:tcPr>
          <w:p w14:paraId="1EFBFB18" w14:textId="77777777" w:rsidR="005D324B" w:rsidRPr="005D324B" w:rsidRDefault="005D324B" w:rsidP="005D324B">
            <w:pPr>
              <w:jc w:val="center"/>
              <w:rPr>
                <w:rFonts w:cs="Calibri"/>
                <w:color w:val="000000"/>
                <w:sz w:val="20"/>
              </w:rPr>
            </w:pPr>
            <w:r w:rsidRPr="005D324B">
              <w:rPr>
                <w:rFonts w:cs="Calibri"/>
                <w:color w:val="000000"/>
                <w:sz w:val="20"/>
              </w:rPr>
              <w:t>321</w:t>
            </w:r>
          </w:p>
        </w:tc>
        <w:tc>
          <w:tcPr>
            <w:tcW w:w="1000" w:type="dxa"/>
            <w:tcBorders>
              <w:top w:val="nil"/>
              <w:left w:val="nil"/>
              <w:bottom w:val="single" w:sz="4" w:space="0" w:color="auto"/>
              <w:right w:val="nil"/>
            </w:tcBorders>
            <w:shd w:val="clear" w:color="auto" w:fill="auto"/>
            <w:noWrap/>
            <w:vAlign w:val="center"/>
            <w:hideMark/>
          </w:tcPr>
          <w:p w14:paraId="43DC7A38" w14:textId="77777777" w:rsidR="005D324B" w:rsidRPr="005D324B" w:rsidRDefault="005D324B" w:rsidP="005D324B">
            <w:pPr>
              <w:jc w:val="center"/>
              <w:rPr>
                <w:rFonts w:cs="Calibri"/>
                <w:color w:val="000000"/>
                <w:sz w:val="20"/>
              </w:rPr>
            </w:pPr>
            <w:r w:rsidRPr="005D324B">
              <w:rPr>
                <w:rFonts w:cs="Calibri"/>
                <w:color w:val="000000"/>
                <w:sz w:val="20"/>
              </w:rPr>
              <w:t>285</w:t>
            </w:r>
          </w:p>
        </w:tc>
        <w:tc>
          <w:tcPr>
            <w:tcW w:w="1000" w:type="dxa"/>
            <w:tcBorders>
              <w:top w:val="nil"/>
              <w:left w:val="nil"/>
              <w:bottom w:val="single" w:sz="4" w:space="0" w:color="auto"/>
              <w:right w:val="nil"/>
            </w:tcBorders>
            <w:shd w:val="clear" w:color="auto" w:fill="auto"/>
            <w:noWrap/>
            <w:vAlign w:val="center"/>
            <w:hideMark/>
          </w:tcPr>
          <w:p w14:paraId="7C49A084" w14:textId="77777777" w:rsidR="005D324B" w:rsidRPr="005D324B" w:rsidRDefault="005D324B" w:rsidP="005D324B">
            <w:pPr>
              <w:jc w:val="center"/>
              <w:rPr>
                <w:rFonts w:cs="Calibri"/>
                <w:color w:val="000000"/>
                <w:sz w:val="20"/>
              </w:rPr>
            </w:pPr>
            <w:r w:rsidRPr="005D324B">
              <w:rPr>
                <w:rFonts w:cs="Calibri"/>
                <w:color w:val="000000"/>
                <w:sz w:val="20"/>
              </w:rPr>
              <w:t>268</w:t>
            </w:r>
          </w:p>
        </w:tc>
        <w:tc>
          <w:tcPr>
            <w:tcW w:w="1000" w:type="dxa"/>
            <w:tcBorders>
              <w:top w:val="nil"/>
              <w:left w:val="nil"/>
              <w:bottom w:val="single" w:sz="4" w:space="0" w:color="auto"/>
              <w:right w:val="nil"/>
            </w:tcBorders>
            <w:shd w:val="clear" w:color="auto" w:fill="auto"/>
            <w:noWrap/>
            <w:vAlign w:val="center"/>
            <w:hideMark/>
          </w:tcPr>
          <w:p w14:paraId="2F9FD08E" w14:textId="77777777" w:rsidR="005D324B" w:rsidRPr="005D324B" w:rsidRDefault="005D324B" w:rsidP="005D324B">
            <w:pPr>
              <w:jc w:val="center"/>
              <w:rPr>
                <w:rFonts w:cs="Calibri"/>
                <w:color w:val="000000"/>
                <w:sz w:val="20"/>
              </w:rPr>
            </w:pPr>
            <w:r w:rsidRPr="005D324B">
              <w:rPr>
                <w:rFonts w:cs="Calibri"/>
                <w:color w:val="000000"/>
                <w:sz w:val="20"/>
              </w:rPr>
              <w:t>251</w:t>
            </w:r>
          </w:p>
        </w:tc>
        <w:tc>
          <w:tcPr>
            <w:tcW w:w="1000" w:type="dxa"/>
            <w:tcBorders>
              <w:top w:val="nil"/>
              <w:left w:val="nil"/>
              <w:bottom w:val="single" w:sz="4" w:space="0" w:color="auto"/>
              <w:right w:val="nil"/>
            </w:tcBorders>
            <w:shd w:val="clear" w:color="auto" w:fill="auto"/>
            <w:noWrap/>
            <w:vAlign w:val="center"/>
            <w:hideMark/>
          </w:tcPr>
          <w:p w14:paraId="2110A0F1" w14:textId="77777777" w:rsidR="005D324B" w:rsidRPr="005D324B" w:rsidRDefault="005D324B" w:rsidP="005D324B">
            <w:pPr>
              <w:jc w:val="center"/>
              <w:rPr>
                <w:rFonts w:cs="Calibri"/>
                <w:color w:val="000000"/>
                <w:sz w:val="20"/>
              </w:rPr>
            </w:pPr>
            <w:r w:rsidRPr="005D324B">
              <w:rPr>
                <w:rFonts w:cs="Calibri"/>
                <w:color w:val="000000"/>
                <w:sz w:val="20"/>
              </w:rPr>
              <w:t>230</w:t>
            </w:r>
          </w:p>
        </w:tc>
        <w:tc>
          <w:tcPr>
            <w:tcW w:w="927" w:type="dxa"/>
            <w:tcBorders>
              <w:top w:val="nil"/>
              <w:left w:val="nil"/>
              <w:bottom w:val="single" w:sz="4" w:space="0" w:color="auto"/>
              <w:right w:val="nil"/>
            </w:tcBorders>
            <w:shd w:val="clear" w:color="auto" w:fill="auto"/>
            <w:noWrap/>
            <w:vAlign w:val="bottom"/>
            <w:hideMark/>
          </w:tcPr>
          <w:p w14:paraId="15FB10B9" w14:textId="77777777" w:rsidR="005D324B" w:rsidRPr="005D324B" w:rsidRDefault="005D324B" w:rsidP="005D324B">
            <w:pPr>
              <w:jc w:val="center"/>
              <w:rPr>
                <w:rFonts w:cs="Calibri"/>
                <w:color w:val="000000"/>
                <w:sz w:val="20"/>
              </w:rPr>
            </w:pPr>
            <w:r w:rsidRPr="005D324B">
              <w:rPr>
                <w:rFonts w:cs="Calibri"/>
                <w:color w:val="000000"/>
                <w:sz w:val="20"/>
              </w:rPr>
              <w:t>-91</w:t>
            </w:r>
          </w:p>
        </w:tc>
        <w:tc>
          <w:tcPr>
            <w:tcW w:w="1022" w:type="dxa"/>
            <w:tcBorders>
              <w:top w:val="nil"/>
              <w:left w:val="nil"/>
              <w:bottom w:val="single" w:sz="4" w:space="0" w:color="auto"/>
              <w:right w:val="nil"/>
            </w:tcBorders>
            <w:shd w:val="clear" w:color="auto" w:fill="auto"/>
            <w:noWrap/>
            <w:vAlign w:val="bottom"/>
            <w:hideMark/>
          </w:tcPr>
          <w:p w14:paraId="5BBD5482" w14:textId="77777777" w:rsidR="005D324B" w:rsidRPr="005D324B" w:rsidRDefault="005D324B" w:rsidP="005D324B">
            <w:pPr>
              <w:jc w:val="center"/>
              <w:rPr>
                <w:rFonts w:cs="Calibri"/>
                <w:color w:val="000000"/>
                <w:sz w:val="20"/>
              </w:rPr>
            </w:pPr>
            <w:r w:rsidRPr="005D324B">
              <w:rPr>
                <w:rFonts w:cs="Calibri"/>
                <w:color w:val="000000"/>
                <w:sz w:val="20"/>
              </w:rPr>
              <w:t>-28%</w:t>
            </w:r>
          </w:p>
        </w:tc>
      </w:tr>
      <w:tr w:rsidR="005D324B" w:rsidRPr="005D324B" w14:paraId="708BDB9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03EEE82" w14:textId="77777777" w:rsidR="005D324B" w:rsidRPr="005D324B" w:rsidRDefault="005D324B" w:rsidP="005D324B">
            <w:pPr>
              <w:rPr>
                <w:rFonts w:cs="Calibri"/>
                <w:color w:val="000000"/>
                <w:sz w:val="20"/>
              </w:rPr>
            </w:pPr>
            <w:r w:rsidRPr="005D324B">
              <w:rPr>
                <w:rFonts w:cs="Calibri"/>
                <w:color w:val="000000"/>
                <w:sz w:val="20"/>
              </w:rPr>
              <w:t>Oklahoma</w:t>
            </w:r>
          </w:p>
        </w:tc>
        <w:tc>
          <w:tcPr>
            <w:tcW w:w="1000" w:type="dxa"/>
            <w:tcBorders>
              <w:top w:val="nil"/>
              <w:left w:val="nil"/>
              <w:bottom w:val="single" w:sz="4" w:space="0" w:color="auto"/>
              <w:right w:val="nil"/>
            </w:tcBorders>
            <w:shd w:val="clear" w:color="auto" w:fill="auto"/>
            <w:noWrap/>
            <w:vAlign w:val="center"/>
            <w:hideMark/>
          </w:tcPr>
          <w:p w14:paraId="4950C37F" w14:textId="77777777" w:rsidR="005D324B" w:rsidRPr="005D324B" w:rsidRDefault="005D324B" w:rsidP="005D324B">
            <w:pPr>
              <w:jc w:val="center"/>
              <w:rPr>
                <w:rFonts w:cs="Calibri"/>
                <w:color w:val="000000"/>
                <w:sz w:val="20"/>
              </w:rPr>
            </w:pPr>
            <w:r w:rsidRPr="005D324B">
              <w:rPr>
                <w:rFonts w:cs="Calibri"/>
                <w:color w:val="000000"/>
                <w:sz w:val="20"/>
              </w:rPr>
              <w:t>232</w:t>
            </w:r>
          </w:p>
        </w:tc>
        <w:tc>
          <w:tcPr>
            <w:tcW w:w="1000" w:type="dxa"/>
            <w:tcBorders>
              <w:top w:val="nil"/>
              <w:left w:val="nil"/>
              <w:bottom w:val="single" w:sz="4" w:space="0" w:color="auto"/>
              <w:right w:val="nil"/>
            </w:tcBorders>
            <w:shd w:val="clear" w:color="auto" w:fill="auto"/>
            <w:noWrap/>
            <w:vAlign w:val="center"/>
            <w:hideMark/>
          </w:tcPr>
          <w:p w14:paraId="3A68C9E9" w14:textId="77777777" w:rsidR="005D324B" w:rsidRPr="005D324B" w:rsidRDefault="005D324B" w:rsidP="005D324B">
            <w:pPr>
              <w:jc w:val="center"/>
              <w:rPr>
                <w:rFonts w:cs="Calibri"/>
                <w:color w:val="000000"/>
                <w:sz w:val="20"/>
              </w:rPr>
            </w:pPr>
            <w:r w:rsidRPr="005D324B">
              <w:rPr>
                <w:rFonts w:cs="Calibri"/>
                <w:color w:val="000000"/>
                <w:sz w:val="20"/>
              </w:rPr>
              <w:t>226</w:t>
            </w:r>
          </w:p>
        </w:tc>
        <w:tc>
          <w:tcPr>
            <w:tcW w:w="1000" w:type="dxa"/>
            <w:tcBorders>
              <w:top w:val="nil"/>
              <w:left w:val="nil"/>
              <w:bottom w:val="single" w:sz="4" w:space="0" w:color="auto"/>
              <w:right w:val="nil"/>
            </w:tcBorders>
            <w:shd w:val="clear" w:color="auto" w:fill="auto"/>
            <w:noWrap/>
            <w:vAlign w:val="center"/>
            <w:hideMark/>
          </w:tcPr>
          <w:p w14:paraId="6116C343" w14:textId="77777777" w:rsidR="005D324B" w:rsidRPr="005D324B" w:rsidRDefault="005D324B" w:rsidP="005D324B">
            <w:pPr>
              <w:jc w:val="center"/>
              <w:rPr>
                <w:rFonts w:cs="Calibri"/>
                <w:color w:val="000000"/>
                <w:sz w:val="20"/>
              </w:rPr>
            </w:pPr>
            <w:r w:rsidRPr="005D324B">
              <w:rPr>
                <w:rFonts w:cs="Calibri"/>
                <w:color w:val="000000"/>
                <w:sz w:val="20"/>
              </w:rPr>
              <w:t>220</w:t>
            </w:r>
          </w:p>
        </w:tc>
        <w:tc>
          <w:tcPr>
            <w:tcW w:w="1000" w:type="dxa"/>
            <w:tcBorders>
              <w:top w:val="nil"/>
              <w:left w:val="nil"/>
              <w:bottom w:val="single" w:sz="4" w:space="0" w:color="auto"/>
              <w:right w:val="nil"/>
            </w:tcBorders>
            <w:shd w:val="clear" w:color="auto" w:fill="auto"/>
            <w:noWrap/>
            <w:vAlign w:val="center"/>
            <w:hideMark/>
          </w:tcPr>
          <w:p w14:paraId="414DD674" w14:textId="77777777" w:rsidR="005D324B" w:rsidRPr="005D324B" w:rsidRDefault="005D324B" w:rsidP="005D324B">
            <w:pPr>
              <w:jc w:val="center"/>
              <w:rPr>
                <w:rFonts w:cs="Calibri"/>
                <w:color w:val="000000"/>
                <w:sz w:val="20"/>
              </w:rPr>
            </w:pPr>
            <w:r w:rsidRPr="005D324B">
              <w:rPr>
                <w:rFonts w:cs="Calibri"/>
                <w:color w:val="000000"/>
                <w:sz w:val="20"/>
              </w:rPr>
              <w:t>215</w:t>
            </w:r>
          </w:p>
        </w:tc>
        <w:tc>
          <w:tcPr>
            <w:tcW w:w="1000" w:type="dxa"/>
            <w:tcBorders>
              <w:top w:val="nil"/>
              <w:left w:val="nil"/>
              <w:bottom w:val="single" w:sz="4" w:space="0" w:color="auto"/>
              <w:right w:val="nil"/>
            </w:tcBorders>
            <w:shd w:val="clear" w:color="auto" w:fill="auto"/>
            <w:noWrap/>
            <w:vAlign w:val="center"/>
            <w:hideMark/>
          </w:tcPr>
          <w:p w14:paraId="6228F64E" w14:textId="77777777" w:rsidR="005D324B" w:rsidRPr="005D324B" w:rsidRDefault="005D324B" w:rsidP="005D324B">
            <w:pPr>
              <w:jc w:val="center"/>
              <w:rPr>
                <w:rFonts w:cs="Calibri"/>
                <w:color w:val="000000"/>
                <w:sz w:val="20"/>
              </w:rPr>
            </w:pPr>
            <w:r w:rsidRPr="005D324B">
              <w:rPr>
                <w:rFonts w:cs="Calibri"/>
                <w:color w:val="000000"/>
                <w:sz w:val="20"/>
              </w:rPr>
              <w:t>205</w:t>
            </w:r>
          </w:p>
        </w:tc>
        <w:tc>
          <w:tcPr>
            <w:tcW w:w="927" w:type="dxa"/>
            <w:tcBorders>
              <w:top w:val="nil"/>
              <w:left w:val="nil"/>
              <w:bottom w:val="single" w:sz="4" w:space="0" w:color="auto"/>
              <w:right w:val="nil"/>
            </w:tcBorders>
            <w:shd w:val="clear" w:color="auto" w:fill="auto"/>
            <w:noWrap/>
            <w:vAlign w:val="bottom"/>
            <w:hideMark/>
          </w:tcPr>
          <w:p w14:paraId="587E0A31" w14:textId="77777777" w:rsidR="005D324B" w:rsidRPr="005D324B" w:rsidRDefault="005D324B" w:rsidP="005D324B">
            <w:pPr>
              <w:jc w:val="center"/>
              <w:rPr>
                <w:rFonts w:cs="Calibri"/>
                <w:color w:val="000000"/>
                <w:sz w:val="20"/>
              </w:rPr>
            </w:pPr>
            <w:r w:rsidRPr="005D324B">
              <w:rPr>
                <w:rFonts w:cs="Calibri"/>
                <w:color w:val="000000"/>
                <w:sz w:val="20"/>
              </w:rPr>
              <w:t>-27</w:t>
            </w:r>
          </w:p>
        </w:tc>
        <w:tc>
          <w:tcPr>
            <w:tcW w:w="1022" w:type="dxa"/>
            <w:tcBorders>
              <w:top w:val="nil"/>
              <w:left w:val="nil"/>
              <w:bottom w:val="single" w:sz="4" w:space="0" w:color="auto"/>
              <w:right w:val="nil"/>
            </w:tcBorders>
            <w:shd w:val="clear" w:color="auto" w:fill="auto"/>
            <w:noWrap/>
            <w:vAlign w:val="bottom"/>
            <w:hideMark/>
          </w:tcPr>
          <w:p w14:paraId="7659DD4D" w14:textId="77777777" w:rsidR="005D324B" w:rsidRPr="005D324B" w:rsidRDefault="005D324B" w:rsidP="005D324B">
            <w:pPr>
              <w:jc w:val="center"/>
              <w:rPr>
                <w:rFonts w:cs="Calibri"/>
                <w:color w:val="000000"/>
                <w:sz w:val="20"/>
              </w:rPr>
            </w:pPr>
            <w:r w:rsidRPr="005D324B">
              <w:rPr>
                <w:rFonts w:cs="Calibri"/>
                <w:color w:val="000000"/>
                <w:sz w:val="20"/>
              </w:rPr>
              <w:t>-12%</w:t>
            </w:r>
          </w:p>
        </w:tc>
      </w:tr>
      <w:tr w:rsidR="005D324B" w:rsidRPr="005D324B" w14:paraId="3511F15C"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073289C" w14:textId="77777777" w:rsidR="005D324B" w:rsidRPr="005D324B" w:rsidRDefault="005D324B" w:rsidP="005D324B">
            <w:pPr>
              <w:rPr>
                <w:rFonts w:cs="Calibri"/>
                <w:color w:val="000000"/>
                <w:sz w:val="20"/>
              </w:rPr>
            </w:pPr>
            <w:r w:rsidRPr="005D324B">
              <w:rPr>
                <w:rFonts w:cs="Calibri"/>
                <w:color w:val="000000"/>
                <w:sz w:val="20"/>
              </w:rPr>
              <w:t>Oregon</w:t>
            </w:r>
          </w:p>
        </w:tc>
        <w:tc>
          <w:tcPr>
            <w:tcW w:w="1000" w:type="dxa"/>
            <w:tcBorders>
              <w:top w:val="nil"/>
              <w:left w:val="nil"/>
              <w:bottom w:val="single" w:sz="4" w:space="0" w:color="auto"/>
              <w:right w:val="nil"/>
            </w:tcBorders>
            <w:shd w:val="clear" w:color="auto" w:fill="auto"/>
            <w:noWrap/>
            <w:vAlign w:val="center"/>
            <w:hideMark/>
          </w:tcPr>
          <w:p w14:paraId="1CE9C7E8" w14:textId="77777777" w:rsidR="005D324B" w:rsidRPr="005D324B" w:rsidRDefault="005D324B" w:rsidP="005D324B">
            <w:pPr>
              <w:jc w:val="center"/>
              <w:rPr>
                <w:rFonts w:cs="Calibri"/>
                <w:color w:val="000000"/>
                <w:sz w:val="20"/>
              </w:rPr>
            </w:pPr>
            <w:r w:rsidRPr="005D324B">
              <w:rPr>
                <w:rFonts w:cs="Calibri"/>
                <w:color w:val="000000"/>
                <w:sz w:val="20"/>
              </w:rPr>
              <w:t>61</w:t>
            </w:r>
          </w:p>
        </w:tc>
        <w:tc>
          <w:tcPr>
            <w:tcW w:w="1000" w:type="dxa"/>
            <w:tcBorders>
              <w:top w:val="nil"/>
              <w:left w:val="nil"/>
              <w:bottom w:val="single" w:sz="4" w:space="0" w:color="auto"/>
              <w:right w:val="nil"/>
            </w:tcBorders>
            <w:shd w:val="clear" w:color="auto" w:fill="auto"/>
            <w:noWrap/>
            <w:vAlign w:val="center"/>
            <w:hideMark/>
          </w:tcPr>
          <w:p w14:paraId="4FA6E3F3" w14:textId="77777777" w:rsidR="005D324B" w:rsidRPr="005D324B" w:rsidRDefault="005D324B" w:rsidP="005D324B">
            <w:pPr>
              <w:jc w:val="center"/>
              <w:rPr>
                <w:rFonts w:cs="Calibri"/>
                <w:color w:val="000000"/>
                <w:sz w:val="20"/>
              </w:rPr>
            </w:pPr>
            <w:r w:rsidRPr="005D324B">
              <w:rPr>
                <w:rFonts w:cs="Calibri"/>
                <w:color w:val="000000"/>
                <w:sz w:val="20"/>
              </w:rPr>
              <w:t>55</w:t>
            </w:r>
          </w:p>
        </w:tc>
        <w:tc>
          <w:tcPr>
            <w:tcW w:w="1000" w:type="dxa"/>
            <w:tcBorders>
              <w:top w:val="nil"/>
              <w:left w:val="nil"/>
              <w:bottom w:val="single" w:sz="4" w:space="0" w:color="auto"/>
              <w:right w:val="nil"/>
            </w:tcBorders>
            <w:shd w:val="clear" w:color="auto" w:fill="auto"/>
            <w:noWrap/>
            <w:vAlign w:val="center"/>
            <w:hideMark/>
          </w:tcPr>
          <w:p w14:paraId="5083C4DB" w14:textId="77777777" w:rsidR="005D324B" w:rsidRPr="005D324B" w:rsidRDefault="005D324B" w:rsidP="005D324B">
            <w:pPr>
              <w:jc w:val="center"/>
              <w:rPr>
                <w:rFonts w:cs="Calibri"/>
                <w:color w:val="000000"/>
                <w:sz w:val="20"/>
              </w:rPr>
            </w:pPr>
            <w:r w:rsidRPr="005D324B">
              <w:rPr>
                <w:rFonts w:cs="Calibri"/>
                <w:color w:val="000000"/>
                <w:sz w:val="20"/>
              </w:rPr>
              <w:t>59</w:t>
            </w:r>
          </w:p>
        </w:tc>
        <w:tc>
          <w:tcPr>
            <w:tcW w:w="1000" w:type="dxa"/>
            <w:tcBorders>
              <w:top w:val="nil"/>
              <w:left w:val="nil"/>
              <w:bottom w:val="single" w:sz="4" w:space="0" w:color="auto"/>
              <w:right w:val="nil"/>
            </w:tcBorders>
            <w:shd w:val="clear" w:color="auto" w:fill="auto"/>
            <w:noWrap/>
            <w:vAlign w:val="center"/>
            <w:hideMark/>
          </w:tcPr>
          <w:p w14:paraId="6A23EEC1" w14:textId="77777777" w:rsidR="005D324B" w:rsidRPr="005D324B" w:rsidRDefault="005D324B" w:rsidP="005D324B">
            <w:pPr>
              <w:jc w:val="center"/>
              <w:rPr>
                <w:rFonts w:cs="Calibri"/>
                <w:color w:val="000000"/>
                <w:sz w:val="20"/>
              </w:rPr>
            </w:pPr>
            <w:r w:rsidRPr="005D324B">
              <w:rPr>
                <w:rFonts w:cs="Calibri"/>
                <w:color w:val="000000"/>
                <w:sz w:val="20"/>
              </w:rPr>
              <w:t>57</w:t>
            </w:r>
          </w:p>
        </w:tc>
        <w:tc>
          <w:tcPr>
            <w:tcW w:w="1000" w:type="dxa"/>
            <w:tcBorders>
              <w:top w:val="nil"/>
              <w:left w:val="nil"/>
              <w:bottom w:val="single" w:sz="4" w:space="0" w:color="auto"/>
              <w:right w:val="nil"/>
            </w:tcBorders>
            <w:shd w:val="clear" w:color="auto" w:fill="auto"/>
            <w:noWrap/>
            <w:vAlign w:val="center"/>
            <w:hideMark/>
          </w:tcPr>
          <w:p w14:paraId="7F8B6336" w14:textId="77777777" w:rsidR="005D324B" w:rsidRPr="005D324B" w:rsidRDefault="005D324B" w:rsidP="005D324B">
            <w:pPr>
              <w:jc w:val="center"/>
              <w:rPr>
                <w:rFonts w:cs="Calibri"/>
                <w:color w:val="000000"/>
                <w:sz w:val="20"/>
              </w:rPr>
            </w:pPr>
            <w:r w:rsidRPr="005D324B">
              <w:rPr>
                <w:rFonts w:cs="Calibri"/>
                <w:color w:val="000000"/>
                <w:sz w:val="20"/>
              </w:rPr>
              <w:t>58</w:t>
            </w:r>
          </w:p>
        </w:tc>
        <w:tc>
          <w:tcPr>
            <w:tcW w:w="927" w:type="dxa"/>
            <w:tcBorders>
              <w:top w:val="nil"/>
              <w:left w:val="nil"/>
              <w:bottom w:val="single" w:sz="4" w:space="0" w:color="auto"/>
              <w:right w:val="nil"/>
            </w:tcBorders>
            <w:shd w:val="clear" w:color="auto" w:fill="auto"/>
            <w:noWrap/>
            <w:vAlign w:val="bottom"/>
            <w:hideMark/>
          </w:tcPr>
          <w:p w14:paraId="216A0D8C" w14:textId="77777777" w:rsidR="005D324B" w:rsidRPr="005D324B" w:rsidRDefault="005D324B" w:rsidP="005D324B">
            <w:pPr>
              <w:jc w:val="center"/>
              <w:rPr>
                <w:rFonts w:cs="Calibri"/>
                <w:color w:val="000000"/>
                <w:sz w:val="20"/>
              </w:rPr>
            </w:pPr>
            <w:r w:rsidRPr="005D324B">
              <w:rPr>
                <w:rFonts w:cs="Calibri"/>
                <w:color w:val="000000"/>
                <w:sz w:val="20"/>
              </w:rPr>
              <w:t>-3</w:t>
            </w:r>
          </w:p>
        </w:tc>
        <w:tc>
          <w:tcPr>
            <w:tcW w:w="1022" w:type="dxa"/>
            <w:tcBorders>
              <w:top w:val="nil"/>
              <w:left w:val="nil"/>
              <w:bottom w:val="single" w:sz="4" w:space="0" w:color="auto"/>
              <w:right w:val="nil"/>
            </w:tcBorders>
            <w:shd w:val="clear" w:color="auto" w:fill="auto"/>
            <w:noWrap/>
            <w:vAlign w:val="bottom"/>
            <w:hideMark/>
          </w:tcPr>
          <w:p w14:paraId="7C96824E" w14:textId="77777777" w:rsidR="005D324B" w:rsidRPr="005D324B" w:rsidRDefault="005D324B" w:rsidP="005D324B">
            <w:pPr>
              <w:jc w:val="center"/>
              <w:rPr>
                <w:rFonts w:cs="Calibri"/>
                <w:color w:val="000000"/>
                <w:sz w:val="20"/>
              </w:rPr>
            </w:pPr>
            <w:r w:rsidRPr="005D324B">
              <w:rPr>
                <w:rFonts w:cs="Calibri"/>
                <w:color w:val="000000"/>
                <w:sz w:val="20"/>
              </w:rPr>
              <w:t>-5%</w:t>
            </w:r>
          </w:p>
        </w:tc>
      </w:tr>
      <w:tr w:rsidR="005D324B" w:rsidRPr="005D324B" w14:paraId="606944EA"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0C651630" w14:textId="77777777" w:rsidR="005D324B" w:rsidRPr="005D324B" w:rsidRDefault="005D324B" w:rsidP="005D324B">
            <w:pPr>
              <w:rPr>
                <w:rFonts w:cs="Calibri"/>
                <w:color w:val="000000"/>
                <w:sz w:val="20"/>
              </w:rPr>
            </w:pPr>
            <w:r w:rsidRPr="005D324B">
              <w:rPr>
                <w:rFonts w:cs="Calibri"/>
                <w:color w:val="000000"/>
                <w:sz w:val="20"/>
              </w:rPr>
              <w:t>Pennsylvania</w:t>
            </w:r>
          </w:p>
        </w:tc>
        <w:tc>
          <w:tcPr>
            <w:tcW w:w="1000" w:type="dxa"/>
            <w:tcBorders>
              <w:top w:val="nil"/>
              <w:left w:val="nil"/>
              <w:bottom w:val="single" w:sz="4" w:space="0" w:color="auto"/>
              <w:right w:val="nil"/>
            </w:tcBorders>
            <w:shd w:val="clear" w:color="auto" w:fill="auto"/>
            <w:noWrap/>
            <w:vAlign w:val="center"/>
            <w:hideMark/>
          </w:tcPr>
          <w:p w14:paraId="1D10F905" w14:textId="77777777" w:rsidR="005D324B" w:rsidRPr="005D324B" w:rsidRDefault="005D324B" w:rsidP="005D324B">
            <w:pPr>
              <w:jc w:val="center"/>
              <w:rPr>
                <w:rFonts w:cs="Calibri"/>
                <w:color w:val="000000"/>
                <w:sz w:val="20"/>
              </w:rPr>
            </w:pPr>
            <w:r w:rsidRPr="005D324B">
              <w:rPr>
                <w:rFonts w:cs="Calibri"/>
                <w:color w:val="000000"/>
                <w:sz w:val="20"/>
              </w:rPr>
              <w:t>274</w:t>
            </w:r>
          </w:p>
        </w:tc>
        <w:tc>
          <w:tcPr>
            <w:tcW w:w="1000" w:type="dxa"/>
            <w:tcBorders>
              <w:top w:val="nil"/>
              <w:left w:val="nil"/>
              <w:bottom w:val="single" w:sz="4" w:space="0" w:color="auto"/>
              <w:right w:val="nil"/>
            </w:tcBorders>
            <w:shd w:val="clear" w:color="auto" w:fill="auto"/>
            <w:noWrap/>
            <w:vAlign w:val="center"/>
            <w:hideMark/>
          </w:tcPr>
          <w:p w14:paraId="2F2DF688" w14:textId="77777777" w:rsidR="005D324B" w:rsidRPr="005D324B" w:rsidRDefault="005D324B" w:rsidP="005D324B">
            <w:pPr>
              <w:jc w:val="center"/>
              <w:rPr>
                <w:rFonts w:cs="Calibri"/>
                <w:color w:val="000000"/>
                <w:sz w:val="20"/>
              </w:rPr>
            </w:pPr>
            <w:r w:rsidRPr="005D324B">
              <w:rPr>
                <w:rFonts w:cs="Calibri"/>
                <w:color w:val="000000"/>
                <w:sz w:val="20"/>
              </w:rPr>
              <w:t>246</w:t>
            </w:r>
          </w:p>
        </w:tc>
        <w:tc>
          <w:tcPr>
            <w:tcW w:w="1000" w:type="dxa"/>
            <w:tcBorders>
              <w:top w:val="nil"/>
              <w:left w:val="nil"/>
              <w:bottom w:val="single" w:sz="4" w:space="0" w:color="auto"/>
              <w:right w:val="nil"/>
            </w:tcBorders>
            <w:shd w:val="clear" w:color="auto" w:fill="auto"/>
            <w:noWrap/>
            <w:vAlign w:val="center"/>
            <w:hideMark/>
          </w:tcPr>
          <w:p w14:paraId="11577E59" w14:textId="77777777" w:rsidR="005D324B" w:rsidRPr="005D324B" w:rsidRDefault="005D324B" w:rsidP="005D324B">
            <w:pPr>
              <w:jc w:val="center"/>
              <w:rPr>
                <w:rFonts w:cs="Calibri"/>
                <w:color w:val="000000"/>
                <w:sz w:val="20"/>
              </w:rPr>
            </w:pPr>
            <w:r w:rsidRPr="005D324B">
              <w:rPr>
                <w:rFonts w:cs="Calibri"/>
                <w:color w:val="000000"/>
                <w:sz w:val="20"/>
              </w:rPr>
              <w:t>244</w:t>
            </w:r>
          </w:p>
        </w:tc>
        <w:tc>
          <w:tcPr>
            <w:tcW w:w="1000" w:type="dxa"/>
            <w:tcBorders>
              <w:top w:val="nil"/>
              <w:left w:val="nil"/>
              <w:bottom w:val="single" w:sz="4" w:space="0" w:color="auto"/>
              <w:right w:val="nil"/>
            </w:tcBorders>
            <w:shd w:val="clear" w:color="auto" w:fill="auto"/>
            <w:noWrap/>
            <w:vAlign w:val="center"/>
            <w:hideMark/>
          </w:tcPr>
          <w:p w14:paraId="6496E5FC" w14:textId="77777777" w:rsidR="005D324B" w:rsidRPr="005D324B" w:rsidRDefault="005D324B" w:rsidP="005D324B">
            <w:pPr>
              <w:jc w:val="center"/>
              <w:rPr>
                <w:rFonts w:cs="Calibri"/>
                <w:color w:val="000000"/>
                <w:sz w:val="20"/>
              </w:rPr>
            </w:pPr>
            <w:r w:rsidRPr="005D324B">
              <w:rPr>
                <w:rFonts w:cs="Calibri"/>
                <w:color w:val="000000"/>
                <w:sz w:val="20"/>
              </w:rPr>
              <w:t>226</w:t>
            </w:r>
          </w:p>
        </w:tc>
        <w:tc>
          <w:tcPr>
            <w:tcW w:w="1000" w:type="dxa"/>
            <w:tcBorders>
              <w:top w:val="nil"/>
              <w:left w:val="nil"/>
              <w:bottom w:val="single" w:sz="4" w:space="0" w:color="auto"/>
              <w:right w:val="nil"/>
            </w:tcBorders>
            <w:shd w:val="clear" w:color="auto" w:fill="auto"/>
            <w:noWrap/>
            <w:vAlign w:val="center"/>
            <w:hideMark/>
          </w:tcPr>
          <w:p w14:paraId="0C01E398" w14:textId="77777777" w:rsidR="005D324B" w:rsidRPr="005D324B" w:rsidRDefault="005D324B" w:rsidP="005D324B">
            <w:pPr>
              <w:jc w:val="center"/>
              <w:rPr>
                <w:rFonts w:cs="Calibri"/>
                <w:color w:val="000000"/>
                <w:sz w:val="20"/>
              </w:rPr>
            </w:pPr>
            <w:r w:rsidRPr="005D324B">
              <w:rPr>
                <w:rFonts w:cs="Calibri"/>
                <w:color w:val="000000"/>
                <w:sz w:val="20"/>
              </w:rPr>
              <w:t>209</w:t>
            </w:r>
          </w:p>
        </w:tc>
        <w:tc>
          <w:tcPr>
            <w:tcW w:w="927" w:type="dxa"/>
            <w:tcBorders>
              <w:top w:val="nil"/>
              <w:left w:val="nil"/>
              <w:bottom w:val="single" w:sz="4" w:space="0" w:color="auto"/>
              <w:right w:val="nil"/>
            </w:tcBorders>
            <w:shd w:val="clear" w:color="auto" w:fill="auto"/>
            <w:noWrap/>
            <w:vAlign w:val="bottom"/>
            <w:hideMark/>
          </w:tcPr>
          <w:p w14:paraId="3F84F90A" w14:textId="77777777" w:rsidR="005D324B" w:rsidRPr="005D324B" w:rsidRDefault="005D324B" w:rsidP="005D324B">
            <w:pPr>
              <w:jc w:val="center"/>
              <w:rPr>
                <w:rFonts w:cs="Calibri"/>
                <w:color w:val="000000"/>
                <w:sz w:val="20"/>
              </w:rPr>
            </w:pPr>
            <w:r w:rsidRPr="005D324B">
              <w:rPr>
                <w:rFonts w:cs="Calibri"/>
                <w:color w:val="000000"/>
                <w:sz w:val="20"/>
              </w:rPr>
              <w:t>-65</w:t>
            </w:r>
          </w:p>
        </w:tc>
        <w:tc>
          <w:tcPr>
            <w:tcW w:w="1022" w:type="dxa"/>
            <w:tcBorders>
              <w:top w:val="nil"/>
              <w:left w:val="nil"/>
              <w:bottom w:val="single" w:sz="4" w:space="0" w:color="auto"/>
              <w:right w:val="nil"/>
            </w:tcBorders>
            <w:shd w:val="clear" w:color="auto" w:fill="auto"/>
            <w:noWrap/>
            <w:vAlign w:val="bottom"/>
            <w:hideMark/>
          </w:tcPr>
          <w:p w14:paraId="6B52BEA9" w14:textId="77777777" w:rsidR="005D324B" w:rsidRPr="005D324B" w:rsidRDefault="005D324B" w:rsidP="005D324B">
            <w:pPr>
              <w:jc w:val="center"/>
              <w:rPr>
                <w:rFonts w:cs="Calibri"/>
                <w:color w:val="000000"/>
                <w:sz w:val="20"/>
              </w:rPr>
            </w:pPr>
            <w:r w:rsidRPr="005D324B">
              <w:rPr>
                <w:rFonts w:cs="Calibri"/>
                <w:color w:val="000000"/>
                <w:sz w:val="20"/>
              </w:rPr>
              <w:t>-24%</w:t>
            </w:r>
          </w:p>
        </w:tc>
      </w:tr>
      <w:tr w:rsidR="005D324B" w:rsidRPr="005D324B" w14:paraId="5EC5AF2B"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185B806" w14:textId="77777777" w:rsidR="005D324B" w:rsidRPr="005D324B" w:rsidRDefault="005D324B" w:rsidP="005D324B">
            <w:pPr>
              <w:rPr>
                <w:rFonts w:cs="Calibri"/>
                <w:color w:val="000000"/>
                <w:sz w:val="20"/>
              </w:rPr>
            </w:pPr>
            <w:r w:rsidRPr="005D324B">
              <w:rPr>
                <w:rFonts w:cs="Calibri"/>
                <w:color w:val="000000"/>
                <w:sz w:val="20"/>
              </w:rPr>
              <w:t>Rhode Island</w:t>
            </w:r>
          </w:p>
        </w:tc>
        <w:tc>
          <w:tcPr>
            <w:tcW w:w="1000" w:type="dxa"/>
            <w:tcBorders>
              <w:top w:val="nil"/>
              <w:left w:val="nil"/>
              <w:bottom w:val="single" w:sz="4" w:space="0" w:color="auto"/>
              <w:right w:val="nil"/>
            </w:tcBorders>
            <w:shd w:val="clear" w:color="auto" w:fill="auto"/>
            <w:noWrap/>
            <w:vAlign w:val="center"/>
            <w:hideMark/>
          </w:tcPr>
          <w:p w14:paraId="41F1910D" w14:textId="77777777" w:rsidR="005D324B" w:rsidRPr="005D324B" w:rsidRDefault="005D324B" w:rsidP="005D324B">
            <w:pPr>
              <w:jc w:val="center"/>
              <w:rPr>
                <w:rFonts w:cs="Calibri"/>
                <w:color w:val="000000"/>
                <w:sz w:val="20"/>
              </w:rPr>
            </w:pPr>
            <w:r w:rsidRPr="005D324B">
              <w:rPr>
                <w:rFonts w:cs="Calibri"/>
                <w:color w:val="000000"/>
                <w:sz w:val="20"/>
              </w:rPr>
              <w:t>22</w:t>
            </w:r>
          </w:p>
        </w:tc>
        <w:tc>
          <w:tcPr>
            <w:tcW w:w="1000" w:type="dxa"/>
            <w:tcBorders>
              <w:top w:val="nil"/>
              <w:left w:val="nil"/>
              <w:bottom w:val="single" w:sz="4" w:space="0" w:color="auto"/>
              <w:right w:val="nil"/>
            </w:tcBorders>
            <w:shd w:val="clear" w:color="auto" w:fill="auto"/>
            <w:noWrap/>
            <w:vAlign w:val="center"/>
            <w:hideMark/>
          </w:tcPr>
          <w:p w14:paraId="6B567583"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6EE721F7"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340EF8D7" w14:textId="77777777" w:rsidR="005D324B" w:rsidRPr="005D324B" w:rsidRDefault="005D324B" w:rsidP="005D324B">
            <w:pPr>
              <w:jc w:val="center"/>
              <w:rPr>
                <w:rFonts w:cs="Calibri"/>
                <w:color w:val="000000"/>
                <w:sz w:val="20"/>
              </w:rPr>
            </w:pPr>
            <w:r w:rsidRPr="005D324B">
              <w:rPr>
                <w:rFonts w:cs="Calibri"/>
                <w:color w:val="000000"/>
                <w:sz w:val="20"/>
              </w:rPr>
              <w:t>22</w:t>
            </w:r>
          </w:p>
        </w:tc>
        <w:tc>
          <w:tcPr>
            <w:tcW w:w="1000" w:type="dxa"/>
            <w:tcBorders>
              <w:top w:val="nil"/>
              <w:left w:val="nil"/>
              <w:bottom w:val="single" w:sz="4" w:space="0" w:color="auto"/>
              <w:right w:val="nil"/>
            </w:tcBorders>
            <w:shd w:val="clear" w:color="auto" w:fill="auto"/>
            <w:noWrap/>
            <w:vAlign w:val="center"/>
            <w:hideMark/>
          </w:tcPr>
          <w:p w14:paraId="3D6D308A" w14:textId="77777777" w:rsidR="005D324B" w:rsidRPr="005D324B" w:rsidRDefault="005D324B" w:rsidP="005D324B">
            <w:pPr>
              <w:jc w:val="center"/>
              <w:rPr>
                <w:rFonts w:cs="Calibri"/>
                <w:color w:val="000000"/>
                <w:sz w:val="20"/>
              </w:rPr>
            </w:pPr>
            <w:r w:rsidRPr="005D324B">
              <w:rPr>
                <w:rFonts w:cs="Calibri"/>
                <w:color w:val="000000"/>
                <w:sz w:val="20"/>
              </w:rPr>
              <w:t>22</w:t>
            </w:r>
          </w:p>
        </w:tc>
        <w:tc>
          <w:tcPr>
            <w:tcW w:w="927" w:type="dxa"/>
            <w:tcBorders>
              <w:top w:val="nil"/>
              <w:left w:val="nil"/>
              <w:bottom w:val="single" w:sz="4" w:space="0" w:color="auto"/>
              <w:right w:val="nil"/>
            </w:tcBorders>
            <w:shd w:val="clear" w:color="auto" w:fill="auto"/>
            <w:noWrap/>
            <w:vAlign w:val="bottom"/>
            <w:hideMark/>
          </w:tcPr>
          <w:p w14:paraId="20EBEF35" w14:textId="77777777" w:rsidR="005D324B" w:rsidRPr="005D324B" w:rsidRDefault="005D324B" w:rsidP="005D324B">
            <w:pPr>
              <w:jc w:val="center"/>
              <w:rPr>
                <w:rFonts w:cs="Calibri"/>
                <w:color w:val="000000"/>
                <w:sz w:val="20"/>
              </w:rPr>
            </w:pPr>
            <w:r w:rsidRPr="005D324B">
              <w:rPr>
                <w:rFonts w:cs="Calibri"/>
                <w:color w:val="000000"/>
                <w:sz w:val="20"/>
              </w:rPr>
              <w:t>0</w:t>
            </w:r>
          </w:p>
        </w:tc>
        <w:tc>
          <w:tcPr>
            <w:tcW w:w="1022" w:type="dxa"/>
            <w:tcBorders>
              <w:top w:val="nil"/>
              <w:left w:val="nil"/>
              <w:bottom w:val="single" w:sz="4" w:space="0" w:color="auto"/>
              <w:right w:val="nil"/>
            </w:tcBorders>
            <w:shd w:val="clear" w:color="auto" w:fill="auto"/>
            <w:noWrap/>
            <w:vAlign w:val="bottom"/>
            <w:hideMark/>
          </w:tcPr>
          <w:p w14:paraId="16448C43" w14:textId="77777777" w:rsidR="005D324B" w:rsidRPr="005D324B" w:rsidRDefault="005D324B" w:rsidP="005D324B">
            <w:pPr>
              <w:jc w:val="center"/>
              <w:rPr>
                <w:rFonts w:cs="Calibri"/>
                <w:color w:val="000000"/>
                <w:sz w:val="20"/>
              </w:rPr>
            </w:pPr>
            <w:r w:rsidRPr="005D324B">
              <w:rPr>
                <w:rFonts w:cs="Calibri"/>
                <w:color w:val="000000"/>
                <w:sz w:val="20"/>
              </w:rPr>
              <w:t>0%</w:t>
            </w:r>
          </w:p>
        </w:tc>
      </w:tr>
      <w:tr w:rsidR="005D324B" w:rsidRPr="005D324B" w14:paraId="11EBDEE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0DDF3BD" w14:textId="77777777" w:rsidR="005D324B" w:rsidRPr="005D324B" w:rsidRDefault="005D324B" w:rsidP="005D324B">
            <w:pPr>
              <w:rPr>
                <w:rFonts w:cs="Calibri"/>
                <w:color w:val="000000"/>
                <w:sz w:val="20"/>
              </w:rPr>
            </w:pPr>
            <w:r w:rsidRPr="005D324B">
              <w:rPr>
                <w:rFonts w:cs="Calibri"/>
                <w:color w:val="000000"/>
                <w:sz w:val="20"/>
              </w:rPr>
              <w:t>South Carolina</w:t>
            </w:r>
          </w:p>
        </w:tc>
        <w:tc>
          <w:tcPr>
            <w:tcW w:w="1000" w:type="dxa"/>
            <w:tcBorders>
              <w:top w:val="nil"/>
              <w:left w:val="nil"/>
              <w:bottom w:val="single" w:sz="4" w:space="0" w:color="auto"/>
              <w:right w:val="nil"/>
            </w:tcBorders>
            <w:shd w:val="clear" w:color="auto" w:fill="auto"/>
            <w:noWrap/>
            <w:vAlign w:val="center"/>
            <w:hideMark/>
          </w:tcPr>
          <w:p w14:paraId="3DDC81D0" w14:textId="77777777" w:rsidR="005D324B" w:rsidRPr="005D324B" w:rsidRDefault="005D324B" w:rsidP="005D324B">
            <w:pPr>
              <w:jc w:val="center"/>
              <w:rPr>
                <w:rFonts w:cs="Calibri"/>
                <w:color w:val="000000"/>
                <w:sz w:val="20"/>
              </w:rPr>
            </w:pPr>
            <w:r w:rsidRPr="005D324B">
              <w:rPr>
                <w:rFonts w:cs="Calibri"/>
                <w:color w:val="000000"/>
                <w:sz w:val="20"/>
              </w:rPr>
              <w:t>85</w:t>
            </w:r>
          </w:p>
        </w:tc>
        <w:tc>
          <w:tcPr>
            <w:tcW w:w="1000" w:type="dxa"/>
            <w:tcBorders>
              <w:top w:val="nil"/>
              <w:left w:val="nil"/>
              <w:bottom w:val="single" w:sz="4" w:space="0" w:color="auto"/>
              <w:right w:val="nil"/>
            </w:tcBorders>
            <w:shd w:val="clear" w:color="auto" w:fill="auto"/>
            <w:noWrap/>
            <w:vAlign w:val="center"/>
            <w:hideMark/>
          </w:tcPr>
          <w:p w14:paraId="4F6CCE78" w14:textId="77777777" w:rsidR="005D324B" w:rsidRPr="005D324B" w:rsidRDefault="005D324B" w:rsidP="005D324B">
            <w:pPr>
              <w:jc w:val="center"/>
              <w:rPr>
                <w:rFonts w:cs="Calibri"/>
                <w:color w:val="000000"/>
                <w:sz w:val="20"/>
              </w:rPr>
            </w:pPr>
            <w:r w:rsidRPr="005D324B">
              <w:rPr>
                <w:rFonts w:cs="Calibri"/>
                <w:color w:val="000000"/>
                <w:sz w:val="20"/>
              </w:rPr>
              <w:t>85</w:t>
            </w:r>
          </w:p>
        </w:tc>
        <w:tc>
          <w:tcPr>
            <w:tcW w:w="1000" w:type="dxa"/>
            <w:tcBorders>
              <w:top w:val="nil"/>
              <w:left w:val="nil"/>
              <w:bottom w:val="single" w:sz="4" w:space="0" w:color="auto"/>
              <w:right w:val="nil"/>
            </w:tcBorders>
            <w:shd w:val="clear" w:color="auto" w:fill="auto"/>
            <w:noWrap/>
            <w:vAlign w:val="center"/>
            <w:hideMark/>
          </w:tcPr>
          <w:p w14:paraId="1C39BD7E" w14:textId="77777777" w:rsidR="005D324B" w:rsidRPr="005D324B" w:rsidRDefault="005D324B" w:rsidP="005D324B">
            <w:pPr>
              <w:jc w:val="center"/>
              <w:rPr>
                <w:rFonts w:cs="Calibri"/>
                <w:color w:val="000000"/>
                <w:sz w:val="20"/>
              </w:rPr>
            </w:pPr>
            <w:r w:rsidRPr="005D324B">
              <w:rPr>
                <w:rFonts w:cs="Calibri"/>
                <w:color w:val="000000"/>
                <w:sz w:val="20"/>
              </w:rPr>
              <w:t>85</w:t>
            </w:r>
          </w:p>
        </w:tc>
        <w:tc>
          <w:tcPr>
            <w:tcW w:w="1000" w:type="dxa"/>
            <w:tcBorders>
              <w:top w:val="nil"/>
              <w:left w:val="nil"/>
              <w:bottom w:val="single" w:sz="4" w:space="0" w:color="auto"/>
              <w:right w:val="nil"/>
            </w:tcBorders>
            <w:shd w:val="clear" w:color="auto" w:fill="auto"/>
            <w:noWrap/>
            <w:vAlign w:val="center"/>
            <w:hideMark/>
          </w:tcPr>
          <w:p w14:paraId="6E2753D3" w14:textId="77777777" w:rsidR="005D324B" w:rsidRPr="005D324B" w:rsidRDefault="005D324B" w:rsidP="005D324B">
            <w:pPr>
              <w:jc w:val="center"/>
              <w:rPr>
                <w:rFonts w:cs="Calibri"/>
                <w:color w:val="000000"/>
                <w:sz w:val="20"/>
              </w:rPr>
            </w:pPr>
            <w:r w:rsidRPr="005D324B">
              <w:rPr>
                <w:rFonts w:cs="Calibri"/>
                <w:color w:val="000000"/>
                <w:sz w:val="20"/>
              </w:rPr>
              <w:t>82</w:t>
            </w:r>
          </w:p>
        </w:tc>
        <w:tc>
          <w:tcPr>
            <w:tcW w:w="1000" w:type="dxa"/>
            <w:tcBorders>
              <w:top w:val="nil"/>
              <w:left w:val="nil"/>
              <w:bottom w:val="single" w:sz="4" w:space="0" w:color="auto"/>
              <w:right w:val="nil"/>
            </w:tcBorders>
            <w:shd w:val="clear" w:color="auto" w:fill="auto"/>
            <w:noWrap/>
            <w:vAlign w:val="center"/>
            <w:hideMark/>
          </w:tcPr>
          <w:p w14:paraId="75C7C9AC" w14:textId="77777777" w:rsidR="005D324B" w:rsidRPr="005D324B" w:rsidRDefault="005D324B" w:rsidP="005D324B">
            <w:pPr>
              <w:jc w:val="center"/>
              <w:rPr>
                <w:rFonts w:cs="Calibri"/>
                <w:color w:val="000000"/>
                <w:sz w:val="20"/>
              </w:rPr>
            </w:pPr>
            <w:r w:rsidRPr="005D324B">
              <w:rPr>
                <w:rFonts w:cs="Calibri"/>
                <w:color w:val="000000"/>
                <w:sz w:val="20"/>
              </w:rPr>
              <w:t>75</w:t>
            </w:r>
          </w:p>
        </w:tc>
        <w:tc>
          <w:tcPr>
            <w:tcW w:w="927" w:type="dxa"/>
            <w:tcBorders>
              <w:top w:val="nil"/>
              <w:left w:val="nil"/>
              <w:bottom w:val="single" w:sz="4" w:space="0" w:color="auto"/>
              <w:right w:val="nil"/>
            </w:tcBorders>
            <w:shd w:val="clear" w:color="auto" w:fill="auto"/>
            <w:noWrap/>
            <w:vAlign w:val="bottom"/>
            <w:hideMark/>
          </w:tcPr>
          <w:p w14:paraId="0C90CDCA" w14:textId="77777777" w:rsidR="005D324B" w:rsidRPr="005D324B" w:rsidRDefault="005D324B" w:rsidP="005D324B">
            <w:pPr>
              <w:jc w:val="center"/>
              <w:rPr>
                <w:rFonts w:cs="Calibri"/>
                <w:color w:val="000000"/>
                <w:sz w:val="20"/>
              </w:rPr>
            </w:pPr>
            <w:r w:rsidRPr="005D324B">
              <w:rPr>
                <w:rFonts w:cs="Calibri"/>
                <w:color w:val="000000"/>
                <w:sz w:val="20"/>
              </w:rPr>
              <w:t>-10</w:t>
            </w:r>
          </w:p>
        </w:tc>
        <w:tc>
          <w:tcPr>
            <w:tcW w:w="1022" w:type="dxa"/>
            <w:tcBorders>
              <w:top w:val="nil"/>
              <w:left w:val="nil"/>
              <w:bottom w:val="single" w:sz="4" w:space="0" w:color="auto"/>
              <w:right w:val="nil"/>
            </w:tcBorders>
            <w:shd w:val="clear" w:color="auto" w:fill="auto"/>
            <w:noWrap/>
            <w:vAlign w:val="bottom"/>
            <w:hideMark/>
          </w:tcPr>
          <w:p w14:paraId="2A336D11" w14:textId="77777777" w:rsidR="005D324B" w:rsidRPr="005D324B" w:rsidRDefault="005D324B" w:rsidP="005D324B">
            <w:pPr>
              <w:jc w:val="center"/>
              <w:rPr>
                <w:rFonts w:cs="Calibri"/>
                <w:color w:val="000000"/>
                <w:sz w:val="20"/>
              </w:rPr>
            </w:pPr>
            <w:r w:rsidRPr="005D324B">
              <w:rPr>
                <w:rFonts w:cs="Calibri"/>
                <w:color w:val="000000"/>
                <w:sz w:val="20"/>
              </w:rPr>
              <w:t>-12%</w:t>
            </w:r>
          </w:p>
        </w:tc>
      </w:tr>
      <w:tr w:rsidR="005D324B" w:rsidRPr="005D324B" w14:paraId="129A91AF"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0D1E59C" w14:textId="77777777" w:rsidR="005D324B" w:rsidRPr="005D324B" w:rsidRDefault="005D324B" w:rsidP="005D324B">
            <w:pPr>
              <w:rPr>
                <w:rFonts w:cs="Calibri"/>
                <w:color w:val="000000"/>
                <w:sz w:val="20"/>
              </w:rPr>
            </w:pPr>
            <w:r w:rsidRPr="005D324B">
              <w:rPr>
                <w:rFonts w:cs="Calibri"/>
                <w:color w:val="000000"/>
                <w:sz w:val="20"/>
              </w:rPr>
              <w:t>South Dakota</w:t>
            </w:r>
          </w:p>
        </w:tc>
        <w:tc>
          <w:tcPr>
            <w:tcW w:w="1000" w:type="dxa"/>
            <w:tcBorders>
              <w:top w:val="nil"/>
              <w:left w:val="nil"/>
              <w:bottom w:val="single" w:sz="4" w:space="0" w:color="auto"/>
              <w:right w:val="nil"/>
            </w:tcBorders>
            <w:shd w:val="clear" w:color="auto" w:fill="auto"/>
            <w:noWrap/>
            <w:vAlign w:val="center"/>
            <w:hideMark/>
          </w:tcPr>
          <w:p w14:paraId="2F6247EC" w14:textId="77777777" w:rsidR="005D324B" w:rsidRPr="005D324B" w:rsidRDefault="005D324B" w:rsidP="005D324B">
            <w:pPr>
              <w:jc w:val="center"/>
              <w:rPr>
                <w:rFonts w:cs="Calibri"/>
                <w:color w:val="000000"/>
                <w:sz w:val="20"/>
              </w:rPr>
            </w:pPr>
            <w:r w:rsidRPr="005D324B">
              <w:rPr>
                <w:rFonts w:cs="Calibri"/>
                <w:color w:val="000000"/>
                <w:sz w:val="20"/>
              </w:rPr>
              <w:t>28</w:t>
            </w:r>
          </w:p>
        </w:tc>
        <w:tc>
          <w:tcPr>
            <w:tcW w:w="1000" w:type="dxa"/>
            <w:tcBorders>
              <w:top w:val="nil"/>
              <w:left w:val="nil"/>
              <w:bottom w:val="single" w:sz="4" w:space="0" w:color="auto"/>
              <w:right w:val="nil"/>
            </w:tcBorders>
            <w:shd w:val="clear" w:color="auto" w:fill="auto"/>
            <w:noWrap/>
            <w:vAlign w:val="center"/>
            <w:hideMark/>
          </w:tcPr>
          <w:p w14:paraId="686DEFB0"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00" w:type="dxa"/>
            <w:tcBorders>
              <w:top w:val="nil"/>
              <w:left w:val="nil"/>
              <w:bottom w:val="single" w:sz="4" w:space="0" w:color="auto"/>
              <w:right w:val="nil"/>
            </w:tcBorders>
            <w:shd w:val="clear" w:color="auto" w:fill="auto"/>
            <w:noWrap/>
            <w:vAlign w:val="center"/>
            <w:hideMark/>
          </w:tcPr>
          <w:p w14:paraId="5C9133AA"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1000" w:type="dxa"/>
            <w:tcBorders>
              <w:top w:val="nil"/>
              <w:left w:val="nil"/>
              <w:bottom w:val="single" w:sz="4" w:space="0" w:color="auto"/>
              <w:right w:val="nil"/>
            </w:tcBorders>
            <w:shd w:val="clear" w:color="auto" w:fill="auto"/>
            <w:noWrap/>
            <w:vAlign w:val="center"/>
            <w:hideMark/>
          </w:tcPr>
          <w:p w14:paraId="4977DCD8" w14:textId="77777777" w:rsidR="005D324B" w:rsidRPr="005D324B" w:rsidRDefault="005D324B" w:rsidP="005D324B">
            <w:pPr>
              <w:jc w:val="center"/>
              <w:rPr>
                <w:rFonts w:cs="Calibri"/>
                <w:color w:val="000000"/>
                <w:sz w:val="20"/>
              </w:rPr>
            </w:pPr>
            <w:r w:rsidRPr="005D324B">
              <w:rPr>
                <w:rFonts w:cs="Calibri"/>
                <w:color w:val="000000"/>
                <w:sz w:val="20"/>
              </w:rPr>
              <w:t>25</w:t>
            </w:r>
          </w:p>
        </w:tc>
        <w:tc>
          <w:tcPr>
            <w:tcW w:w="1000" w:type="dxa"/>
            <w:tcBorders>
              <w:top w:val="nil"/>
              <w:left w:val="nil"/>
              <w:bottom w:val="single" w:sz="4" w:space="0" w:color="auto"/>
              <w:right w:val="nil"/>
            </w:tcBorders>
            <w:shd w:val="clear" w:color="auto" w:fill="auto"/>
            <w:noWrap/>
            <w:vAlign w:val="center"/>
            <w:hideMark/>
          </w:tcPr>
          <w:p w14:paraId="16602D61"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927" w:type="dxa"/>
            <w:tcBorders>
              <w:top w:val="nil"/>
              <w:left w:val="nil"/>
              <w:bottom w:val="single" w:sz="4" w:space="0" w:color="auto"/>
              <w:right w:val="nil"/>
            </w:tcBorders>
            <w:shd w:val="clear" w:color="auto" w:fill="auto"/>
            <w:noWrap/>
            <w:vAlign w:val="bottom"/>
            <w:hideMark/>
          </w:tcPr>
          <w:p w14:paraId="02B98CBA"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23586EAC" w14:textId="77777777" w:rsidR="005D324B" w:rsidRPr="005D324B" w:rsidRDefault="005D324B" w:rsidP="005D324B">
            <w:pPr>
              <w:jc w:val="center"/>
              <w:rPr>
                <w:rFonts w:cs="Calibri"/>
                <w:color w:val="000000"/>
                <w:sz w:val="20"/>
              </w:rPr>
            </w:pPr>
            <w:r w:rsidRPr="005D324B">
              <w:rPr>
                <w:rFonts w:cs="Calibri"/>
                <w:color w:val="000000"/>
                <w:sz w:val="20"/>
              </w:rPr>
              <w:t>-14%</w:t>
            </w:r>
          </w:p>
        </w:tc>
      </w:tr>
      <w:tr w:rsidR="005D324B" w:rsidRPr="005D324B" w14:paraId="43D811A9"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4ED39ED8" w14:textId="77777777" w:rsidR="005D324B" w:rsidRPr="005D324B" w:rsidRDefault="005D324B" w:rsidP="005D324B">
            <w:pPr>
              <w:rPr>
                <w:rFonts w:cs="Calibri"/>
                <w:color w:val="000000"/>
                <w:sz w:val="20"/>
              </w:rPr>
            </w:pPr>
            <w:r w:rsidRPr="005D324B">
              <w:rPr>
                <w:rFonts w:cs="Calibri"/>
                <w:color w:val="000000"/>
                <w:sz w:val="20"/>
              </w:rPr>
              <w:t>Tennessee</w:t>
            </w:r>
          </w:p>
        </w:tc>
        <w:tc>
          <w:tcPr>
            <w:tcW w:w="1000" w:type="dxa"/>
            <w:tcBorders>
              <w:top w:val="nil"/>
              <w:left w:val="nil"/>
              <w:bottom w:val="single" w:sz="4" w:space="0" w:color="auto"/>
              <w:right w:val="nil"/>
            </w:tcBorders>
            <w:shd w:val="clear" w:color="auto" w:fill="auto"/>
            <w:noWrap/>
            <w:vAlign w:val="center"/>
            <w:hideMark/>
          </w:tcPr>
          <w:p w14:paraId="2781AE1F" w14:textId="77777777" w:rsidR="005D324B" w:rsidRPr="005D324B" w:rsidRDefault="005D324B" w:rsidP="005D324B">
            <w:pPr>
              <w:jc w:val="center"/>
              <w:rPr>
                <w:rFonts w:cs="Calibri"/>
                <w:color w:val="000000"/>
                <w:sz w:val="20"/>
              </w:rPr>
            </w:pPr>
            <w:r w:rsidRPr="005D324B">
              <w:rPr>
                <w:rFonts w:cs="Calibri"/>
                <w:color w:val="000000"/>
                <w:sz w:val="20"/>
              </w:rPr>
              <w:t>136</w:t>
            </w:r>
          </w:p>
        </w:tc>
        <w:tc>
          <w:tcPr>
            <w:tcW w:w="1000" w:type="dxa"/>
            <w:tcBorders>
              <w:top w:val="nil"/>
              <w:left w:val="nil"/>
              <w:bottom w:val="single" w:sz="4" w:space="0" w:color="auto"/>
              <w:right w:val="nil"/>
            </w:tcBorders>
            <w:shd w:val="clear" w:color="auto" w:fill="auto"/>
            <w:noWrap/>
            <w:vAlign w:val="center"/>
            <w:hideMark/>
          </w:tcPr>
          <w:p w14:paraId="35019316" w14:textId="77777777" w:rsidR="005D324B" w:rsidRPr="005D324B" w:rsidRDefault="005D324B" w:rsidP="005D324B">
            <w:pPr>
              <w:jc w:val="center"/>
              <w:rPr>
                <w:rFonts w:cs="Calibri"/>
                <w:color w:val="000000"/>
                <w:sz w:val="20"/>
              </w:rPr>
            </w:pPr>
            <w:r w:rsidRPr="005D324B">
              <w:rPr>
                <w:rFonts w:cs="Calibri"/>
                <w:color w:val="000000"/>
                <w:sz w:val="20"/>
              </w:rPr>
              <w:t>128</w:t>
            </w:r>
          </w:p>
        </w:tc>
        <w:tc>
          <w:tcPr>
            <w:tcW w:w="1000" w:type="dxa"/>
            <w:tcBorders>
              <w:top w:val="nil"/>
              <w:left w:val="nil"/>
              <w:bottom w:val="single" w:sz="4" w:space="0" w:color="auto"/>
              <w:right w:val="nil"/>
            </w:tcBorders>
            <w:shd w:val="clear" w:color="auto" w:fill="auto"/>
            <w:noWrap/>
            <w:vAlign w:val="center"/>
            <w:hideMark/>
          </w:tcPr>
          <w:p w14:paraId="187472D5" w14:textId="77777777" w:rsidR="005D324B" w:rsidRPr="005D324B" w:rsidRDefault="005D324B" w:rsidP="005D324B">
            <w:pPr>
              <w:jc w:val="center"/>
              <w:rPr>
                <w:rFonts w:cs="Calibri"/>
                <w:color w:val="000000"/>
                <w:sz w:val="20"/>
              </w:rPr>
            </w:pPr>
            <w:r w:rsidRPr="005D324B">
              <w:rPr>
                <w:rFonts w:cs="Calibri"/>
                <w:color w:val="000000"/>
                <w:sz w:val="20"/>
              </w:rPr>
              <w:t>129</w:t>
            </w:r>
          </w:p>
        </w:tc>
        <w:tc>
          <w:tcPr>
            <w:tcW w:w="1000" w:type="dxa"/>
            <w:tcBorders>
              <w:top w:val="nil"/>
              <w:left w:val="nil"/>
              <w:bottom w:val="single" w:sz="4" w:space="0" w:color="auto"/>
              <w:right w:val="nil"/>
            </w:tcBorders>
            <w:shd w:val="clear" w:color="auto" w:fill="auto"/>
            <w:noWrap/>
            <w:vAlign w:val="center"/>
            <w:hideMark/>
          </w:tcPr>
          <w:p w14:paraId="466625ED" w14:textId="77777777" w:rsidR="005D324B" w:rsidRPr="005D324B" w:rsidRDefault="005D324B" w:rsidP="005D324B">
            <w:pPr>
              <w:jc w:val="center"/>
              <w:rPr>
                <w:rFonts w:cs="Calibri"/>
                <w:color w:val="000000"/>
                <w:sz w:val="20"/>
              </w:rPr>
            </w:pPr>
            <w:r w:rsidRPr="005D324B">
              <w:rPr>
                <w:rFonts w:cs="Calibri"/>
                <w:color w:val="000000"/>
                <w:sz w:val="20"/>
              </w:rPr>
              <w:t>127</w:t>
            </w:r>
          </w:p>
        </w:tc>
        <w:tc>
          <w:tcPr>
            <w:tcW w:w="1000" w:type="dxa"/>
            <w:tcBorders>
              <w:top w:val="nil"/>
              <w:left w:val="nil"/>
              <w:bottom w:val="single" w:sz="4" w:space="0" w:color="auto"/>
              <w:right w:val="nil"/>
            </w:tcBorders>
            <w:shd w:val="clear" w:color="auto" w:fill="auto"/>
            <w:noWrap/>
            <w:vAlign w:val="center"/>
            <w:hideMark/>
          </w:tcPr>
          <w:p w14:paraId="57C9D90D" w14:textId="77777777" w:rsidR="005D324B" w:rsidRPr="005D324B" w:rsidRDefault="005D324B" w:rsidP="005D324B">
            <w:pPr>
              <w:jc w:val="center"/>
              <w:rPr>
                <w:rFonts w:cs="Calibri"/>
                <w:color w:val="000000"/>
                <w:sz w:val="20"/>
              </w:rPr>
            </w:pPr>
            <w:r w:rsidRPr="005D324B">
              <w:rPr>
                <w:rFonts w:cs="Calibri"/>
                <w:color w:val="000000"/>
                <w:sz w:val="20"/>
              </w:rPr>
              <w:t>126</w:t>
            </w:r>
          </w:p>
        </w:tc>
        <w:tc>
          <w:tcPr>
            <w:tcW w:w="927" w:type="dxa"/>
            <w:tcBorders>
              <w:top w:val="nil"/>
              <w:left w:val="nil"/>
              <w:bottom w:val="single" w:sz="4" w:space="0" w:color="auto"/>
              <w:right w:val="nil"/>
            </w:tcBorders>
            <w:shd w:val="clear" w:color="auto" w:fill="auto"/>
            <w:noWrap/>
            <w:vAlign w:val="bottom"/>
            <w:hideMark/>
          </w:tcPr>
          <w:p w14:paraId="7598AD66" w14:textId="77777777" w:rsidR="005D324B" w:rsidRPr="005D324B" w:rsidRDefault="005D324B" w:rsidP="005D324B">
            <w:pPr>
              <w:jc w:val="center"/>
              <w:rPr>
                <w:rFonts w:cs="Calibri"/>
                <w:color w:val="000000"/>
                <w:sz w:val="20"/>
              </w:rPr>
            </w:pPr>
            <w:r w:rsidRPr="005D324B">
              <w:rPr>
                <w:rFonts w:cs="Calibri"/>
                <w:color w:val="000000"/>
                <w:sz w:val="20"/>
              </w:rPr>
              <w:t>-10</w:t>
            </w:r>
          </w:p>
        </w:tc>
        <w:tc>
          <w:tcPr>
            <w:tcW w:w="1022" w:type="dxa"/>
            <w:tcBorders>
              <w:top w:val="nil"/>
              <w:left w:val="nil"/>
              <w:bottom w:val="single" w:sz="4" w:space="0" w:color="auto"/>
              <w:right w:val="nil"/>
            </w:tcBorders>
            <w:shd w:val="clear" w:color="auto" w:fill="auto"/>
            <w:noWrap/>
            <w:vAlign w:val="bottom"/>
            <w:hideMark/>
          </w:tcPr>
          <w:p w14:paraId="7D410E8C" w14:textId="77777777" w:rsidR="005D324B" w:rsidRPr="005D324B" w:rsidRDefault="005D324B" w:rsidP="005D324B">
            <w:pPr>
              <w:jc w:val="center"/>
              <w:rPr>
                <w:rFonts w:cs="Calibri"/>
                <w:color w:val="000000"/>
                <w:sz w:val="20"/>
              </w:rPr>
            </w:pPr>
            <w:r w:rsidRPr="005D324B">
              <w:rPr>
                <w:rFonts w:cs="Calibri"/>
                <w:color w:val="000000"/>
                <w:sz w:val="20"/>
              </w:rPr>
              <w:t>-7%</w:t>
            </w:r>
          </w:p>
        </w:tc>
      </w:tr>
      <w:tr w:rsidR="005D324B" w:rsidRPr="005D324B" w14:paraId="67AB7316"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32A6386" w14:textId="77777777" w:rsidR="005D324B" w:rsidRPr="005D324B" w:rsidRDefault="005D324B" w:rsidP="005D324B">
            <w:pPr>
              <w:rPr>
                <w:rFonts w:cs="Calibri"/>
                <w:color w:val="000000"/>
                <w:sz w:val="20"/>
              </w:rPr>
            </w:pPr>
            <w:r w:rsidRPr="005D324B">
              <w:rPr>
                <w:rFonts w:cs="Calibri"/>
                <w:color w:val="000000"/>
                <w:sz w:val="20"/>
              </w:rPr>
              <w:t>Texas</w:t>
            </w:r>
          </w:p>
        </w:tc>
        <w:tc>
          <w:tcPr>
            <w:tcW w:w="1000" w:type="dxa"/>
            <w:tcBorders>
              <w:top w:val="nil"/>
              <w:left w:val="nil"/>
              <w:bottom w:val="single" w:sz="4" w:space="0" w:color="auto"/>
              <w:right w:val="nil"/>
            </w:tcBorders>
            <w:shd w:val="clear" w:color="auto" w:fill="auto"/>
            <w:noWrap/>
            <w:vAlign w:val="center"/>
            <w:hideMark/>
          </w:tcPr>
          <w:p w14:paraId="1C38F16F" w14:textId="77777777" w:rsidR="005D324B" w:rsidRPr="005D324B" w:rsidRDefault="005D324B" w:rsidP="005D324B">
            <w:pPr>
              <w:jc w:val="center"/>
              <w:rPr>
                <w:rFonts w:cs="Calibri"/>
                <w:color w:val="000000"/>
                <w:sz w:val="20"/>
              </w:rPr>
            </w:pPr>
            <w:r w:rsidRPr="005D324B">
              <w:rPr>
                <w:rFonts w:cs="Calibri"/>
                <w:color w:val="000000"/>
                <w:sz w:val="20"/>
              </w:rPr>
              <w:t>1,490</w:t>
            </w:r>
          </w:p>
        </w:tc>
        <w:tc>
          <w:tcPr>
            <w:tcW w:w="1000" w:type="dxa"/>
            <w:tcBorders>
              <w:top w:val="nil"/>
              <w:left w:val="nil"/>
              <w:bottom w:val="single" w:sz="4" w:space="0" w:color="auto"/>
              <w:right w:val="nil"/>
            </w:tcBorders>
            <w:shd w:val="clear" w:color="auto" w:fill="auto"/>
            <w:noWrap/>
            <w:vAlign w:val="center"/>
            <w:hideMark/>
          </w:tcPr>
          <w:p w14:paraId="4F92FC6D" w14:textId="77777777" w:rsidR="005D324B" w:rsidRPr="005D324B" w:rsidRDefault="005D324B" w:rsidP="005D324B">
            <w:pPr>
              <w:jc w:val="center"/>
              <w:rPr>
                <w:rFonts w:cs="Calibri"/>
                <w:color w:val="000000"/>
                <w:sz w:val="20"/>
              </w:rPr>
            </w:pPr>
            <w:r w:rsidRPr="005D324B">
              <w:rPr>
                <w:rFonts w:cs="Calibri"/>
                <w:color w:val="000000"/>
                <w:sz w:val="20"/>
              </w:rPr>
              <w:t>1,346</w:t>
            </w:r>
          </w:p>
        </w:tc>
        <w:tc>
          <w:tcPr>
            <w:tcW w:w="1000" w:type="dxa"/>
            <w:tcBorders>
              <w:top w:val="nil"/>
              <w:left w:val="nil"/>
              <w:bottom w:val="single" w:sz="4" w:space="0" w:color="auto"/>
              <w:right w:val="nil"/>
            </w:tcBorders>
            <w:shd w:val="clear" w:color="auto" w:fill="auto"/>
            <w:noWrap/>
            <w:vAlign w:val="center"/>
            <w:hideMark/>
          </w:tcPr>
          <w:p w14:paraId="54EAB7EA" w14:textId="77777777" w:rsidR="005D324B" w:rsidRPr="005D324B" w:rsidRDefault="005D324B" w:rsidP="005D324B">
            <w:pPr>
              <w:jc w:val="center"/>
              <w:rPr>
                <w:rFonts w:cs="Calibri"/>
                <w:color w:val="000000"/>
                <w:sz w:val="20"/>
              </w:rPr>
            </w:pPr>
            <w:r w:rsidRPr="005D324B">
              <w:rPr>
                <w:rFonts w:cs="Calibri"/>
                <w:color w:val="000000"/>
                <w:sz w:val="20"/>
              </w:rPr>
              <w:t>1,242</w:t>
            </w:r>
          </w:p>
        </w:tc>
        <w:tc>
          <w:tcPr>
            <w:tcW w:w="1000" w:type="dxa"/>
            <w:tcBorders>
              <w:top w:val="nil"/>
              <w:left w:val="nil"/>
              <w:bottom w:val="single" w:sz="4" w:space="0" w:color="auto"/>
              <w:right w:val="nil"/>
            </w:tcBorders>
            <w:shd w:val="clear" w:color="auto" w:fill="auto"/>
            <w:noWrap/>
            <w:vAlign w:val="center"/>
            <w:hideMark/>
          </w:tcPr>
          <w:p w14:paraId="4B9E6F70" w14:textId="77777777" w:rsidR="005D324B" w:rsidRPr="005D324B" w:rsidRDefault="005D324B" w:rsidP="005D324B">
            <w:pPr>
              <w:jc w:val="center"/>
              <w:rPr>
                <w:rFonts w:cs="Calibri"/>
                <w:color w:val="000000"/>
                <w:sz w:val="20"/>
              </w:rPr>
            </w:pPr>
            <w:r w:rsidRPr="005D324B">
              <w:rPr>
                <w:rFonts w:cs="Calibri"/>
                <w:color w:val="000000"/>
                <w:sz w:val="20"/>
              </w:rPr>
              <w:t>1,138</w:t>
            </w:r>
          </w:p>
        </w:tc>
        <w:tc>
          <w:tcPr>
            <w:tcW w:w="1000" w:type="dxa"/>
            <w:tcBorders>
              <w:top w:val="nil"/>
              <w:left w:val="nil"/>
              <w:bottom w:val="single" w:sz="4" w:space="0" w:color="auto"/>
              <w:right w:val="nil"/>
            </w:tcBorders>
            <w:shd w:val="clear" w:color="auto" w:fill="auto"/>
            <w:noWrap/>
            <w:vAlign w:val="center"/>
            <w:hideMark/>
          </w:tcPr>
          <w:p w14:paraId="1825F6F4" w14:textId="77777777" w:rsidR="005D324B" w:rsidRPr="005D324B" w:rsidRDefault="005D324B" w:rsidP="005D324B">
            <w:pPr>
              <w:jc w:val="center"/>
              <w:rPr>
                <w:rFonts w:cs="Calibri"/>
                <w:color w:val="000000"/>
                <w:sz w:val="20"/>
              </w:rPr>
            </w:pPr>
            <w:r w:rsidRPr="005D324B">
              <w:rPr>
                <w:rFonts w:cs="Calibri"/>
                <w:color w:val="000000"/>
                <w:sz w:val="20"/>
              </w:rPr>
              <w:t>1,056</w:t>
            </w:r>
          </w:p>
        </w:tc>
        <w:tc>
          <w:tcPr>
            <w:tcW w:w="927" w:type="dxa"/>
            <w:tcBorders>
              <w:top w:val="nil"/>
              <w:left w:val="nil"/>
              <w:bottom w:val="single" w:sz="4" w:space="0" w:color="auto"/>
              <w:right w:val="nil"/>
            </w:tcBorders>
            <w:shd w:val="clear" w:color="auto" w:fill="auto"/>
            <w:noWrap/>
            <w:vAlign w:val="bottom"/>
            <w:hideMark/>
          </w:tcPr>
          <w:p w14:paraId="037FAB43" w14:textId="77777777" w:rsidR="005D324B" w:rsidRPr="005D324B" w:rsidRDefault="005D324B" w:rsidP="005D324B">
            <w:pPr>
              <w:jc w:val="center"/>
              <w:rPr>
                <w:rFonts w:cs="Calibri"/>
                <w:color w:val="000000"/>
                <w:sz w:val="20"/>
              </w:rPr>
            </w:pPr>
            <w:r w:rsidRPr="005D324B">
              <w:rPr>
                <w:rFonts w:cs="Calibri"/>
                <w:color w:val="000000"/>
                <w:sz w:val="20"/>
              </w:rPr>
              <w:t>-434</w:t>
            </w:r>
          </w:p>
        </w:tc>
        <w:tc>
          <w:tcPr>
            <w:tcW w:w="1022" w:type="dxa"/>
            <w:tcBorders>
              <w:top w:val="nil"/>
              <w:left w:val="nil"/>
              <w:bottom w:val="single" w:sz="4" w:space="0" w:color="auto"/>
              <w:right w:val="nil"/>
            </w:tcBorders>
            <w:shd w:val="clear" w:color="auto" w:fill="auto"/>
            <w:noWrap/>
            <w:vAlign w:val="bottom"/>
            <w:hideMark/>
          </w:tcPr>
          <w:p w14:paraId="53D9DACB" w14:textId="77777777" w:rsidR="005D324B" w:rsidRPr="005D324B" w:rsidRDefault="005D324B" w:rsidP="005D324B">
            <w:pPr>
              <w:jc w:val="center"/>
              <w:rPr>
                <w:rFonts w:cs="Calibri"/>
                <w:color w:val="000000"/>
                <w:sz w:val="20"/>
              </w:rPr>
            </w:pPr>
            <w:r w:rsidRPr="005D324B">
              <w:rPr>
                <w:rFonts w:cs="Calibri"/>
                <w:color w:val="000000"/>
                <w:sz w:val="20"/>
              </w:rPr>
              <w:t>-29%</w:t>
            </w:r>
          </w:p>
        </w:tc>
      </w:tr>
      <w:tr w:rsidR="005D324B" w:rsidRPr="005D324B" w14:paraId="0D80CAA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76B0EED" w14:textId="77777777" w:rsidR="005D324B" w:rsidRPr="005D324B" w:rsidRDefault="005D324B" w:rsidP="005D324B">
            <w:pPr>
              <w:rPr>
                <w:rFonts w:cs="Calibri"/>
                <w:color w:val="000000"/>
                <w:sz w:val="20"/>
              </w:rPr>
            </w:pPr>
            <w:r w:rsidRPr="005D324B">
              <w:rPr>
                <w:rFonts w:cs="Calibri"/>
                <w:color w:val="000000"/>
                <w:sz w:val="20"/>
              </w:rPr>
              <w:t>Utah</w:t>
            </w:r>
          </w:p>
        </w:tc>
        <w:tc>
          <w:tcPr>
            <w:tcW w:w="1000" w:type="dxa"/>
            <w:tcBorders>
              <w:top w:val="nil"/>
              <w:left w:val="nil"/>
              <w:bottom w:val="single" w:sz="4" w:space="0" w:color="auto"/>
              <w:right w:val="nil"/>
            </w:tcBorders>
            <w:shd w:val="clear" w:color="auto" w:fill="auto"/>
            <w:noWrap/>
            <w:vAlign w:val="center"/>
            <w:hideMark/>
          </w:tcPr>
          <w:p w14:paraId="21285E36" w14:textId="77777777" w:rsidR="005D324B" w:rsidRPr="005D324B" w:rsidRDefault="005D324B" w:rsidP="005D324B">
            <w:pPr>
              <w:jc w:val="center"/>
              <w:rPr>
                <w:rFonts w:cs="Calibri"/>
                <w:color w:val="000000"/>
                <w:sz w:val="20"/>
              </w:rPr>
            </w:pPr>
            <w:r w:rsidRPr="005D324B">
              <w:rPr>
                <w:rFonts w:cs="Calibri"/>
                <w:color w:val="000000"/>
                <w:sz w:val="20"/>
              </w:rPr>
              <w:t>82</w:t>
            </w:r>
          </w:p>
        </w:tc>
        <w:tc>
          <w:tcPr>
            <w:tcW w:w="1000" w:type="dxa"/>
            <w:tcBorders>
              <w:top w:val="nil"/>
              <w:left w:val="nil"/>
              <w:bottom w:val="single" w:sz="4" w:space="0" w:color="auto"/>
              <w:right w:val="nil"/>
            </w:tcBorders>
            <w:shd w:val="clear" w:color="auto" w:fill="auto"/>
            <w:noWrap/>
            <w:vAlign w:val="center"/>
            <w:hideMark/>
          </w:tcPr>
          <w:p w14:paraId="24B2F55E" w14:textId="77777777" w:rsidR="005D324B" w:rsidRPr="005D324B" w:rsidRDefault="005D324B" w:rsidP="005D324B">
            <w:pPr>
              <w:jc w:val="center"/>
              <w:rPr>
                <w:rFonts w:cs="Calibri"/>
                <w:color w:val="000000"/>
                <w:sz w:val="20"/>
              </w:rPr>
            </w:pPr>
            <w:r w:rsidRPr="005D324B">
              <w:rPr>
                <w:rFonts w:cs="Calibri"/>
                <w:color w:val="000000"/>
                <w:sz w:val="20"/>
              </w:rPr>
              <w:t>79</w:t>
            </w:r>
          </w:p>
        </w:tc>
        <w:tc>
          <w:tcPr>
            <w:tcW w:w="1000" w:type="dxa"/>
            <w:tcBorders>
              <w:top w:val="nil"/>
              <w:left w:val="nil"/>
              <w:bottom w:val="single" w:sz="4" w:space="0" w:color="auto"/>
              <w:right w:val="nil"/>
            </w:tcBorders>
            <w:shd w:val="clear" w:color="auto" w:fill="auto"/>
            <w:noWrap/>
            <w:vAlign w:val="center"/>
            <w:hideMark/>
          </w:tcPr>
          <w:p w14:paraId="007BD006" w14:textId="77777777" w:rsidR="005D324B" w:rsidRPr="005D324B" w:rsidRDefault="005D324B" w:rsidP="005D324B">
            <w:pPr>
              <w:jc w:val="center"/>
              <w:rPr>
                <w:rFonts w:cs="Calibri"/>
                <w:color w:val="000000"/>
                <w:sz w:val="20"/>
              </w:rPr>
            </w:pPr>
            <w:r w:rsidRPr="005D324B">
              <w:rPr>
                <w:rFonts w:cs="Calibri"/>
                <w:color w:val="000000"/>
                <w:sz w:val="20"/>
              </w:rPr>
              <w:t>79</w:t>
            </w:r>
          </w:p>
        </w:tc>
        <w:tc>
          <w:tcPr>
            <w:tcW w:w="1000" w:type="dxa"/>
            <w:tcBorders>
              <w:top w:val="nil"/>
              <w:left w:val="nil"/>
              <w:bottom w:val="single" w:sz="4" w:space="0" w:color="auto"/>
              <w:right w:val="nil"/>
            </w:tcBorders>
            <w:shd w:val="clear" w:color="auto" w:fill="auto"/>
            <w:noWrap/>
            <w:vAlign w:val="center"/>
            <w:hideMark/>
          </w:tcPr>
          <w:p w14:paraId="28E8247D" w14:textId="77777777" w:rsidR="005D324B" w:rsidRPr="005D324B" w:rsidRDefault="005D324B" w:rsidP="005D324B">
            <w:pPr>
              <w:jc w:val="center"/>
              <w:rPr>
                <w:rFonts w:cs="Calibri"/>
                <w:color w:val="000000"/>
                <w:sz w:val="20"/>
              </w:rPr>
            </w:pPr>
            <w:r w:rsidRPr="005D324B">
              <w:rPr>
                <w:rFonts w:cs="Calibri"/>
                <w:color w:val="000000"/>
                <w:sz w:val="20"/>
              </w:rPr>
              <w:t>76</w:t>
            </w:r>
          </w:p>
        </w:tc>
        <w:tc>
          <w:tcPr>
            <w:tcW w:w="1000" w:type="dxa"/>
            <w:tcBorders>
              <w:top w:val="nil"/>
              <w:left w:val="nil"/>
              <w:bottom w:val="single" w:sz="4" w:space="0" w:color="auto"/>
              <w:right w:val="nil"/>
            </w:tcBorders>
            <w:shd w:val="clear" w:color="auto" w:fill="auto"/>
            <w:noWrap/>
            <w:vAlign w:val="center"/>
            <w:hideMark/>
          </w:tcPr>
          <w:p w14:paraId="6CCC8CA0" w14:textId="77777777" w:rsidR="005D324B" w:rsidRPr="005D324B" w:rsidRDefault="005D324B" w:rsidP="005D324B">
            <w:pPr>
              <w:jc w:val="center"/>
              <w:rPr>
                <w:rFonts w:cs="Calibri"/>
                <w:color w:val="000000"/>
                <w:sz w:val="20"/>
              </w:rPr>
            </w:pPr>
            <w:r w:rsidRPr="005D324B">
              <w:rPr>
                <w:rFonts w:cs="Calibri"/>
                <w:color w:val="000000"/>
                <w:sz w:val="20"/>
              </w:rPr>
              <w:t>71</w:t>
            </w:r>
          </w:p>
        </w:tc>
        <w:tc>
          <w:tcPr>
            <w:tcW w:w="927" w:type="dxa"/>
            <w:tcBorders>
              <w:top w:val="nil"/>
              <w:left w:val="nil"/>
              <w:bottom w:val="single" w:sz="4" w:space="0" w:color="auto"/>
              <w:right w:val="nil"/>
            </w:tcBorders>
            <w:shd w:val="clear" w:color="auto" w:fill="auto"/>
            <w:noWrap/>
            <w:vAlign w:val="bottom"/>
            <w:hideMark/>
          </w:tcPr>
          <w:p w14:paraId="7E3BCAD3" w14:textId="77777777" w:rsidR="005D324B" w:rsidRPr="005D324B" w:rsidRDefault="005D324B" w:rsidP="005D324B">
            <w:pPr>
              <w:jc w:val="center"/>
              <w:rPr>
                <w:rFonts w:cs="Calibri"/>
                <w:color w:val="000000"/>
                <w:sz w:val="20"/>
              </w:rPr>
            </w:pPr>
            <w:r w:rsidRPr="005D324B">
              <w:rPr>
                <w:rFonts w:cs="Calibri"/>
                <w:color w:val="000000"/>
                <w:sz w:val="20"/>
              </w:rPr>
              <w:t>-11</w:t>
            </w:r>
          </w:p>
        </w:tc>
        <w:tc>
          <w:tcPr>
            <w:tcW w:w="1022" w:type="dxa"/>
            <w:tcBorders>
              <w:top w:val="nil"/>
              <w:left w:val="nil"/>
              <w:bottom w:val="single" w:sz="4" w:space="0" w:color="auto"/>
              <w:right w:val="nil"/>
            </w:tcBorders>
            <w:shd w:val="clear" w:color="auto" w:fill="auto"/>
            <w:noWrap/>
            <w:vAlign w:val="bottom"/>
            <w:hideMark/>
          </w:tcPr>
          <w:p w14:paraId="56E0EA13" w14:textId="77777777" w:rsidR="005D324B" w:rsidRPr="005D324B" w:rsidRDefault="005D324B" w:rsidP="005D324B">
            <w:pPr>
              <w:jc w:val="center"/>
              <w:rPr>
                <w:rFonts w:cs="Calibri"/>
                <w:color w:val="000000"/>
                <w:sz w:val="20"/>
              </w:rPr>
            </w:pPr>
            <w:r w:rsidRPr="005D324B">
              <w:rPr>
                <w:rFonts w:cs="Calibri"/>
                <w:color w:val="000000"/>
                <w:sz w:val="20"/>
              </w:rPr>
              <w:t>-13%</w:t>
            </w:r>
          </w:p>
        </w:tc>
      </w:tr>
      <w:tr w:rsidR="005D324B" w:rsidRPr="005D324B" w14:paraId="38A6A045"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20EA08EF" w14:textId="77777777" w:rsidR="005D324B" w:rsidRPr="005D324B" w:rsidRDefault="005D324B" w:rsidP="005D324B">
            <w:pPr>
              <w:rPr>
                <w:rFonts w:cs="Calibri"/>
                <w:color w:val="000000"/>
                <w:sz w:val="20"/>
              </w:rPr>
            </w:pPr>
            <w:r w:rsidRPr="005D324B">
              <w:rPr>
                <w:rFonts w:cs="Calibri"/>
                <w:color w:val="000000"/>
                <w:sz w:val="20"/>
              </w:rPr>
              <w:t>Vermont</w:t>
            </w:r>
          </w:p>
        </w:tc>
        <w:tc>
          <w:tcPr>
            <w:tcW w:w="1000" w:type="dxa"/>
            <w:tcBorders>
              <w:top w:val="nil"/>
              <w:left w:val="nil"/>
              <w:bottom w:val="single" w:sz="4" w:space="0" w:color="auto"/>
              <w:right w:val="nil"/>
            </w:tcBorders>
            <w:shd w:val="clear" w:color="auto" w:fill="auto"/>
            <w:noWrap/>
            <w:vAlign w:val="center"/>
            <w:hideMark/>
          </w:tcPr>
          <w:p w14:paraId="4D658420"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4A8AAE85"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4555F790" w14:textId="77777777" w:rsidR="005D324B" w:rsidRPr="005D324B" w:rsidRDefault="005D324B" w:rsidP="005D324B">
            <w:pPr>
              <w:jc w:val="center"/>
              <w:rPr>
                <w:rFonts w:cs="Calibri"/>
                <w:color w:val="000000"/>
                <w:sz w:val="20"/>
              </w:rPr>
            </w:pPr>
            <w:r w:rsidRPr="005D324B">
              <w:rPr>
                <w:rFonts w:cs="Calibri"/>
                <w:color w:val="000000"/>
                <w:sz w:val="20"/>
              </w:rPr>
              <w:t>14</w:t>
            </w:r>
          </w:p>
        </w:tc>
        <w:tc>
          <w:tcPr>
            <w:tcW w:w="1000" w:type="dxa"/>
            <w:tcBorders>
              <w:top w:val="nil"/>
              <w:left w:val="nil"/>
              <w:bottom w:val="single" w:sz="4" w:space="0" w:color="auto"/>
              <w:right w:val="nil"/>
            </w:tcBorders>
            <w:shd w:val="clear" w:color="auto" w:fill="auto"/>
            <w:noWrap/>
            <w:vAlign w:val="center"/>
            <w:hideMark/>
          </w:tcPr>
          <w:p w14:paraId="0E072196" w14:textId="77777777" w:rsidR="005D324B" w:rsidRPr="005D324B" w:rsidRDefault="005D324B" w:rsidP="005D324B">
            <w:pPr>
              <w:jc w:val="center"/>
              <w:rPr>
                <w:rFonts w:cs="Calibri"/>
                <w:color w:val="000000"/>
                <w:sz w:val="20"/>
              </w:rPr>
            </w:pPr>
            <w:r w:rsidRPr="005D324B">
              <w:rPr>
                <w:rFonts w:cs="Calibri"/>
                <w:color w:val="000000"/>
                <w:sz w:val="20"/>
              </w:rPr>
              <w:t>13</w:t>
            </w:r>
          </w:p>
        </w:tc>
        <w:tc>
          <w:tcPr>
            <w:tcW w:w="1000" w:type="dxa"/>
            <w:tcBorders>
              <w:top w:val="nil"/>
              <w:left w:val="nil"/>
              <w:bottom w:val="single" w:sz="4" w:space="0" w:color="auto"/>
              <w:right w:val="nil"/>
            </w:tcBorders>
            <w:shd w:val="clear" w:color="auto" w:fill="auto"/>
            <w:noWrap/>
            <w:vAlign w:val="center"/>
            <w:hideMark/>
          </w:tcPr>
          <w:p w14:paraId="42A03BE7" w14:textId="77777777" w:rsidR="005D324B" w:rsidRPr="005D324B" w:rsidRDefault="005D324B" w:rsidP="005D324B">
            <w:pPr>
              <w:jc w:val="center"/>
              <w:rPr>
                <w:rFonts w:cs="Calibri"/>
                <w:color w:val="000000"/>
                <w:sz w:val="20"/>
              </w:rPr>
            </w:pPr>
            <w:r w:rsidRPr="005D324B">
              <w:rPr>
                <w:rFonts w:cs="Calibri"/>
                <w:color w:val="000000"/>
                <w:sz w:val="20"/>
              </w:rPr>
              <w:t>12</w:t>
            </w:r>
          </w:p>
        </w:tc>
        <w:tc>
          <w:tcPr>
            <w:tcW w:w="927" w:type="dxa"/>
            <w:tcBorders>
              <w:top w:val="nil"/>
              <w:left w:val="nil"/>
              <w:bottom w:val="single" w:sz="4" w:space="0" w:color="auto"/>
              <w:right w:val="nil"/>
            </w:tcBorders>
            <w:shd w:val="clear" w:color="auto" w:fill="auto"/>
            <w:noWrap/>
            <w:vAlign w:val="bottom"/>
            <w:hideMark/>
          </w:tcPr>
          <w:p w14:paraId="1826E08A" w14:textId="77777777" w:rsidR="005D324B" w:rsidRPr="005D324B" w:rsidRDefault="005D324B" w:rsidP="005D324B">
            <w:pPr>
              <w:jc w:val="center"/>
              <w:rPr>
                <w:rFonts w:cs="Calibri"/>
                <w:color w:val="000000"/>
                <w:sz w:val="20"/>
              </w:rPr>
            </w:pPr>
            <w:r w:rsidRPr="005D324B">
              <w:rPr>
                <w:rFonts w:cs="Calibri"/>
                <w:color w:val="000000"/>
                <w:sz w:val="20"/>
              </w:rPr>
              <w:t>-2</w:t>
            </w:r>
          </w:p>
        </w:tc>
        <w:tc>
          <w:tcPr>
            <w:tcW w:w="1022" w:type="dxa"/>
            <w:tcBorders>
              <w:top w:val="nil"/>
              <w:left w:val="nil"/>
              <w:bottom w:val="single" w:sz="4" w:space="0" w:color="auto"/>
              <w:right w:val="nil"/>
            </w:tcBorders>
            <w:shd w:val="clear" w:color="auto" w:fill="auto"/>
            <w:noWrap/>
            <w:vAlign w:val="bottom"/>
            <w:hideMark/>
          </w:tcPr>
          <w:p w14:paraId="2680DCE2" w14:textId="77777777" w:rsidR="005D324B" w:rsidRPr="005D324B" w:rsidRDefault="005D324B" w:rsidP="005D324B">
            <w:pPr>
              <w:jc w:val="center"/>
              <w:rPr>
                <w:rFonts w:cs="Calibri"/>
                <w:color w:val="000000"/>
                <w:sz w:val="20"/>
              </w:rPr>
            </w:pPr>
            <w:r w:rsidRPr="005D324B">
              <w:rPr>
                <w:rFonts w:cs="Calibri"/>
                <w:color w:val="000000"/>
                <w:sz w:val="20"/>
              </w:rPr>
              <w:t>-14%</w:t>
            </w:r>
          </w:p>
        </w:tc>
      </w:tr>
      <w:tr w:rsidR="005D324B" w:rsidRPr="005D324B" w14:paraId="7EAAD8B9"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6B5F4C8F" w14:textId="77777777" w:rsidR="005D324B" w:rsidRPr="005D324B" w:rsidRDefault="005D324B" w:rsidP="005D324B">
            <w:pPr>
              <w:rPr>
                <w:rFonts w:cs="Calibri"/>
                <w:color w:val="000000"/>
                <w:sz w:val="20"/>
              </w:rPr>
            </w:pPr>
            <w:r w:rsidRPr="005D324B">
              <w:rPr>
                <w:rFonts w:cs="Calibri"/>
                <w:color w:val="000000"/>
                <w:sz w:val="20"/>
              </w:rPr>
              <w:t>Virginia</w:t>
            </w:r>
          </w:p>
        </w:tc>
        <w:tc>
          <w:tcPr>
            <w:tcW w:w="1000" w:type="dxa"/>
            <w:tcBorders>
              <w:top w:val="nil"/>
              <w:left w:val="nil"/>
              <w:bottom w:val="single" w:sz="4" w:space="0" w:color="auto"/>
              <w:right w:val="nil"/>
            </w:tcBorders>
            <w:shd w:val="clear" w:color="auto" w:fill="auto"/>
            <w:noWrap/>
            <w:vAlign w:val="center"/>
            <w:hideMark/>
          </w:tcPr>
          <w:p w14:paraId="4208ED74" w14:textId="77777777" w:rsidR="005D324B" w:rsidRPr="005D324B" w:rsidRDefault="005D324B" w:rsidP="005D324B">
            <w:pPr>
              <w:jc w:val="center"/>
              <w:rPr>
                <w:rFonts w:cs="Calibri"/>
                <w:color w:val="000000"/>
                <w:sz w:val="20"/>
              </w:rPr>
            </w:pPr>
            <w:r w:rsidRPr="005D324B">
              <w:rPr>
                <w:rFonts w:cs="Calibri"/>
                <w:color w:val="000000"/>
                <w:sz w:val="20"/>
              </w:rPr>
              <w:t>220</w:t>
            </w:r>
          </w:p>
        </w:tc>
        <w:tc>
          <w:tcPr>
            <w:tcW w:w="1000" w:type="dxa"/>
            <w:tcBorders>
              <w:top w:val="nil"/>
              <w:left w:val="nil"/>
              <w:bottom w:val="single" w:sz="4" w:space="0" w:color="auto"/>
              <w:right w:val="nil"/>
            </w:tcBorders>
            <w:shd w:val="clear" w:color="auto" w:fill="auto"/>
            <w:noWrap/>
            <w:vAlign w:val="center"/>
            <w:hideMark/>
          </w:tcPr>
          <w:p w14:paraId="6B8A5D5F" w14:textId="77777777" w:rsidR="005D324B" w:rsidRPr="005D324B" w:rsidRDefault="005D324B" w:rsidP="005D324B">
            <w:pPr>
              <w:jc w:val="center"/>
              <w:rPr>
                <w:rFonts w:cs="Calibri"/>
                <w:color w:val="000000"/>
                <w:sz w:val="20"/>
              </w:rPr>
            </w:pPr>
            <w:r w:rsidRPr="005D324B">
              <w:rPr>
                <w:rFonts w:cs="Calibri"/>
                <w:color w:val="000000"/>
                <w:sz w:val="20"/>
              </w:rPr>
              <w:t>210</w:t>
            </w:r>
          </w:p>
        </w:tc>
        <w:tc>
          <w:tcPr>
            <w:tcW w:w="1000" w:type="dxa"/>
            <w:tcBorders>
              <w:top w:val="nil"/>
              <w:left w:val="nil"/>
              <w:bottom w:val="single" w:sz="4" w:space="0" w:color="auto"/>
              <w:right w:val="nil"/>
            </w:tcBorders>
            <w:shd w:val="clear" w:color="auto" w:fill="auto"/>
            <w:noWrap/>
            <w:vAlign w:val="center"/>
            <w:hideMark/>
          </w:tcPr>
          <w:p w14:paraId="362CE45F" w14:textId="77777777" w:rsidR="005D324B" w:rsidRPr="005D324B" w:rsidRDefault="005D324B" w:rsidP="005D324B">
            <w:pPr>
              <w:jc w:val="center"/>
              <w:rPr>
                <w:rFonts w:cs="Calibri"/>
                <w:color w:val="000000"/>
                <w:sz w:val="20"/>
              </w:rPr>
            </w:pPr>
            <w:r w:rsidRPr="005D324B">
              <w:rPr>
                <w:rFonts w:cs="Calibri"/>
                <w:color w:val="000000"/>
                <w:sz w:val="20"/>
              </w:rPr>
              <w:t>202</w:t>
            </w:r>
          </w:p>
        </w:tc>
        <w:tc>
          <w:tcPr>
            <w:tcW w:w="1000" w:type="dxa"/>
            <w:tcBorders>
              <w:top w:val="nil"/>
              <w:left w:val="nil"/>
              <w:bottom w:val="single" w:sz="4" w:space="0" w:color="auto"/>
              <w:right w:val="nil"/>
            </w:tcBorders>
            <w:shd w:val="clear" w:color="auto" w:fill="auto"/>
            <w:noWrap/>
            <w:vAlign w:val="center"/>
            <w:hideMark/>
          </w:tcPr>
          <w:p w14:paraId="7341E8D9" w14:textId="77777777" w:rsidR="005D324B" w:rsidRPr="005D324B" w:rsidRDefault="005D324B" w:rsidP="005D324B">
            <w:pPr>
              <w:jc w:val="center"/>
              <w:rPr>
                <w:rFonts w:cs="Calibri"/>
                <w:color w:val="000000"/>
                <w:sz w:val="20"/>
              </w:rPr>
            </w:pPr>
            <w:r w:rsidRPr="005D324B">
              <w:rPr>
                <w:rFonts w:cs="Calibri"/>
                <w:color w:val="000000"/>
                <w:sz w:val="20"/>
              </w:rPr>
              <w:t>199</w:t>
            </w:r>
          </w:p>
        </w:tc>
        <w:tc>
          <w:tcPr>
            <w:tcW w:w="1000" w:type="dxa"/>
            <w:tcBorders>
              <w:top w:val="nil"/>
              <w:left w:val="nil"/>
              <w:bottom w:val="single" w:sz="4" w:space="0" w:color="auto"/>
              <w:right w:val="nil"/>
            </w:tcBorders>
            <w:shd w:val="clear" w:color="auto" w:fill="auto"/>
            <w:noWrap/>
            <w:vAlign w:val="center"/>
            <w:hideMark/>
          </w:tcPr>
          <w:p w14:paraId="428ED2F4" w14:textId="77777777" w:rsidR="005D324B" w:rsidRPr="005D324B" w:rsidRDefault="005D324B" w:rsidP="005D324B">
            <w:pPr>
              <w:jc w:val="center"/>
              <w:rPr>
                <w:rFonts w:cs="Calibri"/>
                <w:color w:val="000000"/>
                <w:sz w:val="20"/>
              </w:rPr>
            </w:pPr>
            <w:r w:rsidRPr="005D324B">
              <w:rPr>
                <w:rFonts w:cs="Calibri"/>
                <w:color w:val="000000"/>
                <w:sz w:val="20"/>
              </w:rPr>
              <w:t>196</w:t>
            </w:r>
          </w:p>
        </w:tc>
        <w:tc>
          <w:tcPr>
            <w:tcW w:w="927" w:type="dxa"/>
            <w:tcBorders>
              <w:top w:val="nil"/>
              <w:left w:val="nil"/>
              <w:bottom w:val="single" w:sz="4" w:space="0" w:color="auto"/>
              <w:right w:val="nil"/>
            </w:tcBorders>
            <w:shd w:val="clear" w:color="auto" w:fill="auto"/>
            <w:noWrap/>
            <w:vAlign w:val="bottom"/>
            <w:hideMark/>
          </w:tcPr>
          <w:p w14:paraId="7C3FB9DF" w14:textId="77777777" w:rsidR="005D324B" w:rsidRPr="005D324B" w:rsidRDefault="005D324B" w:rsidP="005D324B">
            <w:pPr>
              <w:jc w:val="center"/>
              <w:rPr>
                <w:rFonts w:cs="Calibri"/>
                <w:color w:val="000000"/>
                <w:sz w:val="20"/>
              </w:rPr>
            </w:pPr>
            <w:r w:rsidRPr="005D324B">
              <w:rPr>
                <w:rFonts w:cs="Calibri"/>
                <w:color w:val="000000"/>
                <w:sz w:val="20"/>
              </w:rPr>
              <w:t>-24</w:t>
            </w:r>
          </w:p>
        </w:tc>
        <w:tc>
          <w:tcPr>
            <w:tcW w:w="1022" w:type="dxa"/>
            <w:tcBorders>
              <w:top w:val="nil"/>
              <w:left w:val="nil"/>
              <w:bottom w:val="single" w:sz="4" w:space="0" w:color="auto"/>
              <w:right w:val="nil"/>
            </w:tcBorders>
            <w:shd w:val="clear" w:color="auto" w:fill="auto"/>
            <w:noWrap/>
            <w:vAlign w:val="bottom"/>
            <w:hideMark/>
          </w:tcPr>
          <w:p w14:paraId="33CA9B0C" w14:textId="77777777" w:rsidR="005D324B" w:rsidRPr="005D324B" w:rsidRDefault="005D324B" w:rsidP="005D324B">
            <w:pPr>
              <w:jc w:val="center"/>
              <w:rPr>
                <w:rFonts w:cs="Calibri"/>
                <w:color w:val="000000"/>
                <w:sz w:val="20"/>
              </w:rPr>
            </w:pPr>
            <w:r w:rsidRPr="005D324B">
              <w:rPr>
                <w:rFonts w:cs="Calibri"/>
                <w:color w:val="000000"/>
                <w:sz w:val="20"/>
              </w:rPr>
              <w:t>-11%</w:t>
            </w:r>
          </w:p>
        </w:tc>
      </w:tr>
      <w:tr w:rsidR="005D324B" w:rsidRPr="005D324B" w14:paraId="37D19AA9"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B492857" w14:textId="77777777" w:rsidR="005D324B" w:rsidRPr="005D324B" w:rsidRDefault="005D324B" w:rsidP="005D324B">
            <w:pPr>
              <w:rPr>
                <w:rFonts w:cs="Calibri"/>
                <w:color w:val="000000"/>
                <w:sz w:val="20"/>
              </w:rPr>
            </w:pPr>
            <w:r w:rsidRPr="005D324B">
              <w:rPr>
                <w:rFonts w:cs="Calibri"/>
                <w:color w:val="000000"/>
                <w:sz w:val="20"/>
              </w:rPr>
              <w:t>Washington</w:t>
            </w:r>
          </w:p>
        </w:tc>
        <w:tc>
          <w:tcPr>
            <w:tcW w:w="1000" w:type="dxa"/>
            <w:tcBorders>
              <w:top w:val="nil"/>
              <w:left w:val="nil"/>
              <w:bottom w:val="single" w:sz="4" w:space="0" w:color="auto"/>
              <w:right w:val="nil"/>
            </w:tcBorders>
            <w:shd w:val="clear" w:color="auto" w:fill="auto"/>
            <w:noWrap/>
            <w:vAlign w:val="center"/>
            <w:hideMark/>
          </w:tcPr>
          <w:p w14:paraId="409D8A9D" w14:textId="77777777" w:rsidR="005D324B" w:rsidRPr="005D324B" w:rsidRDefault="005D324B" w:rsidP="005D324B">
            <w:pPr>
              <w:jc w:val="center"/>
              <w:rPr>
                <w:rFonts w:cs="Calibri"/>
                <w:color w:val="000000"/>
                <w:sz w:val="20"/>
              </w:rPr>
            </w:pPr>
            <w:r w:rsidRPr="005D324B">
              <w:rPr>
                <w:rFonts w:cs="Calibri"/>
                <w:color w:val="000000"/>
                <w:sz w:val="20"/>
              </w:rPr>
              <w:t>63</w:t>
            </w:r>
          </w:p>
        </w:tc>
        <w:tc>
          <w:tcPr>
            <w:tcW w:w="1000" w:type="dxa"/>
            <w:tcBorders>
              <w:top w:val="nil"/>
              <w:left w:val="nil"/>
              <w:bottom w:val="single" w:sz="4" w:space="0" w:color="auto"/>
              <w:right w:val="nil"/>
            </w:tcBorders>
            <w:shd w:val="clear" w:color="auto" w:fill="auto"/>
            <w:noWrap/>
            <w:vAlign w:val="center"/>
            <w:hideMark/>
          </w:tcPr>
          <w:p w14:paraId="76DB905C" w14:textId="77777777" w:rsidR="005D324B" w:rsidRPr="005D324B" w:rsidRDefault="005D324B" w:rsidP="005D324B">
            <w:pPr>
              <w:jc w:val="center"/>
              <w:rPr>
                <w:rFonts w:cs="Calibri"/>
                <w:color w:val="000000"/>
                <w:sz w:val="20"/>
              </w:rPr>
            </w:pPr>
            <w:r w:rsidRPr="005D324B">
              <w:rPr>
                <w:rFonts w:cs="Calibri"/>
                <w:color w:val="000000"/>
                <w:sz w:val="20"/>
              </w:rPr>
              <w:t>64</w:t>
            </w:r>
          </w:p>
        </w:tc>
        <w:tc>
          <w:tcPr>
            <w:tcW w:w="1000" w:type="dxa"/>
            <w:tcBorders>
              <w:top w:val="nil"/>
              <w:left w:val="nil"/>
              <w:bottom w:val="single" w:sz="4" w:space="0" w:color="auto"/>
              <w:right w:val="nil"/>
            </w:tcBorders>
            <w:shd w:val="clear" w:color="auto" w:fill="auto"/>
            <w:noWrap/>
            <w:vAlign w:val="center"/>
            <w:hideMark/>
          </w:tcPr>
          <w:p w14:paraId="603E05C4" w14:textId="77777777" w:rsidR="005D324B" w:rsidRPr="005D324B" w:rsidRDefault="005D324B" w:rsidP="005D324B">
            <w:pPr>
              <w:jc w:val="center"/>
              <w:rPr>
                <w:rFonts w:cs="Calibri"/>
                <w:color w:val="000000"/>
                <w:sz w:val="20"/>
              </w:rPr>
            </w:pPr>
            <w:r w:rsidRPr="005D324B">
              <w:rPr>
                <w:rFonts w:cs="Calibri"/>
                <w:color w:val="000000"/>
                <w:sz w:val="20"/>
              </w:rPr>
              <w:t>68</w:t>
            </w:r>
          </w:p>
        </w:tc>
        <w:tc>
          <w:tcPr>
            <w:tcW w:w="1000" w:type="dxa"/>
            <w:tcBorders>
              <w:top w:val="nil"/>
              <w:left w:val="nil"/>
              <w:bottom w:val="single" w:sz="4" w:space="0" w:color="auto"/>
              <w:right w:val="nil"/>
            </w:tcBorders>
            <w:shd w:val="clear" w:color="auto" w:fill="auto"/>
            <w:noWrap/>
            <w:vAlign w:val="center"/>
            <w:hideMark/>
          </w:tcPr>
          <w:p w14:paraId="46702338" w14:textId="77777777" w:rsidR="005D324B" w:rsidRPr="005D324B" w:rsidRDefault="005D324B" w:rsidP="005D324B">
            <w:pPr>
              <w:jc w:val="center"/>
              <w:rPr>
                <w:rFonts w:cs="Calibri"/>
                <w:color w:val="000000"/>
                <w:sz w:val="20"/>
              </w:rPr>
            </w:pPr>
            <w:r w:rsidRPr="005D324B">
              <w:rPr>
                <w:rFonts w:cs="Calibri"/>
                <w:color w:val="000000"/>
                <w:sz w:val="20"/>
              </w:rPr>
              <w:t>67</w:t>
            </w:r>
          </w:p>
        </w:tc>
        <w:tc>
          <w:tcPr>
            <w:tcW w:w="1000" w:type="dxa"/>
            <w:tcBorders>
              <w:top w:val="nil"/>
              <w:left w:val="nil"/>
              <w:bottom w:val="single" w:sz="4" w:space="0" w:color="auto"/>
              <w:right w:val="nil"/>
            </w:tcBorders>
            <w:shd w:val="clear" w:color="auto" w:fill="auto"/>
            <w:noWrap/>
            <w:vAlign w:val="center"/>
            <w:hideMark/>
          </w:tcPr>
          <w:p w14:paraId="5703EE37" w14:textId="77777777" w:rsidR="005D324B" w:rsidRPr="005D324B" w:rsidRDefault="005D324B" w:rsidP="005D324B">
            <w:pPr>
              <w:jc w:val="center"/>
              <w:rPr>
                <w:rFonts w:cs="Calibri"/>
                <w:color w:val="000000"/>
                <w:sz w:val="20"/>
              </w:rPr>
            </w:pPr>
            <w:r w:rsidRPr="005D324B">
              <w:rPr>
                <w:rFonts w:cs="Calibri"/>
                <w:color w:val="000000"/>
                <w:sz w:val="20"/>
              </w:rPr>
              <w:t>68</w:t>
            </w:r>
          </w:p>
        </w:tc>
        <w:tc>
          <w:tcPr>
            <w:tcW w:w="927" w:type="dxa"/>
            <w:tcBorders>
              <w:top w:val="nil"/>
              <w:left w:val="nil"/>
              <w:bottom w:val="single" w:sz="4" w:space="0" w:color="auto"/>
              <w:right w:val="nil"/>
            </w:tcBorders>
            <w:shd w:val="clear" w:color="auto" w:fill="auto"/>
            <w:noWrap/>
            <w:vAlign w:val="bottom"/>
            <w:hideMark/>
          </w:tcPr>
          <w:p w14:paraId="4CD689C6" w14:textId="77777777" w:rsidR="005D324B" w:rsidRPr="005D324B" w:rsidRDefault="005D324B" w:rsidP="005D324B">
            <w:pPr>
              <w:jc w:val="center"/>
              <w:rPr>
                <w:rFonts w:cs="Calibri"/>
                <w:color w:val="000000"/>
                <w:sz w:val="20"/>
              </w:rPr>
            </w:pPr>
            <w:r w:rsidRPr="005D324B">
              <w:rPr>
                <w:rFonts w:cs="Calibri"/>
                <w:color w:val="000000"/>
                <w:sz w:val="20"/>
              </w:rPr>
              <w:t>5</w:t>
            </w:r>
          </w:p>
        </w:tc>
        <w:tc>
          <w:tcPr>
            <w:tcW w:w="1022" w:type="dxa"/>
            <w:tcBorders>
              <w:top w:val="nil"/>
              <w:left w:val="nil"/>
              <w:bottom w:val="single" w:sz="4" w:space="0" w:color="auto"/>
              <w:right w:val="nil"/>
            </w:tcBorders>
            <w:shd w:val="clear" w:color="auto" w:fill="auto"/>
            <w:noWrap/>
            <w:vAlign w:val="bottom"/>
            <w:hideMark/>
          </w:tcPr>
          <w:p w14:paraId="5D7049F1" w14:textId="77777777" w:rsidR="005D324B" w:rsidRPr="005D324B" w:rsidRDefault="005D324B" w:rsidP="005D324B">
            <w:pPr>
              <w:jc w:val="center"/>
              <w:rPr>
                <w:rFonts w:cs="Calibri"/>
                <w:color w:val="000000"/>
                <w:sz w:val="20"/>
              </w:rPr>
            </w:pPr>
            <w:r w:rsidRPr="005D324B">
              <w:rPr>
                <w:rFonts w:cs="Calibri"/>
                <w:color w:val="000000"/>
                <w:sz w:val="20"/>
              </w:rPr>
              <w:t>8%</w:t>
            </w:r>
          </w:p>
        </w:tc>
      </w:tr>
      <w:tr w:rsidR="005D324B" w:rsidRPr="005D324B" w14:paraId="067E3500"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7F2725C0" w14:textId="77777777" w:rsidR="005D324B" w:rsidRPr="005D324B" w:rsidRDefault="005D324B" w:rsidP="005D324B">
            <w:pPr>
              <w:rPr>
                <w:rFonts w:cs="Calibri"/>
                <w:color w:val="000000"/>
                <w:sz w:val="20"/>
              </w:rPr>
            </w:pPr>
            <w:r w:rsidRPr="005D324B">
              <w:rPr>
                <w:rFonts w:cs="Calibri"/>
                <w:color w:val="000000"/>
                <w:sz w:val="20"/>
              </w:rPr>
              <w:t>West Virginia</w:t>
            </w:r>
          </w:p>
        </w:tc>
        <w:tc>
          <w:tcPr>
            <w:tcW w:w="1000" w:type="dxa"/>
            <w:tcBorders>
              <w:top w:val="nil"/>
              <w:left w:val="nil"/>
              <w:bottom w:val="single" w:sz="4" w:space="0" w:color="auto"/>
              <w:right w:val="nil"/>
            </w:tcBorders>
            <w:shd w:val="clear" w:color="auto" w:fill="auto"/>
            <w:noWrap/>
            <w:vAlign w:val="center"/>
            <w:hideMark/>
          </w:tcPr>
          <w:p w14:paraId="1BE02738" w14:textId="77777777" w:rsidR="005D324B" w:rsidRPr="005D324B" w:rsidRDefault="005D324B" w:rsidP="005D324B">
            <w:pPr>
              <w:jc w:val="center"/>
              <w:rPr>
                <w:rFonts w:cs="Calibri"/>
                <w:color w:val="000000"/>
                <w:sz w:val="20"/>
              </w:rPr>
            </w:pPr>
            <w:r w:rsidRPr="005D324B">
              <w:rPr>
                <w:rFonts w:cs="Calibri"/>
                <w:color w:val="000000"/>
                <w:sz w:val="20"/>
              </w:rPr>
              <w:t>62</w:t>
            </w:r>
          </w:p>
        </w:tc>
        <w:tc>
          <w:tcPr>
            <w:tcW w:w="1000" w:type="dxa"/>
            <w:tcBorders>
              <w:top w:val="nil"/>
              <w:left w:val="nil"/>
              <w:bottom w:val="single" w:sz="4" w:space="0" w:color="auto"/>
              <w:right w:val="nil"/>
            </w:tcBorders>
            <w:shd w:val="clear" w:color="auto" w:fill="auto"/>
            <w:noWrap/>
            <w:vAlign w:val="center"/>
            <w:hideMark/>
          </w:tcPr>
          <w:p w14:paraId="014D5B8D" w14:textId="77777777" w:rsidR="005D324B" w:rsidRPr="005D324B" w:rsidRDefault="005D324B" w:rsidP="005D324B">
            <w:pPr>
              <w:jc w:val="center"/>
              <w:rPr>
                <w:rFonts w:cs="Calibri"/>
                <w:color w:val="000000"/>
                <w:sz w:val="20"/>
              </w:rPr>
            </w:pPr>
            <w:r w:rsidRPr="005D324B">
              <w:rPr>
                <w:rFonts w:cs="Calibri"/>
                <w:color w:val="000000"/>
                <w:sz w:val="20"/>
              </w:rPr>
              <w:t>57</w:t>
            </w:r>
          </w:p>
        </w:tc>
        <w:tc>
          <w:tcPr>
            <w:tcW w:w="1000" w:type="dxa"/>
            <w:tcBorders>
              <w:top w:val="nil"/>
              <w:left w:val="nil"/>
              <w:bottom w:val="single" w:sz="4" w:space="0" w:color="auto"/>
              <w:right w:val="nil"/>
            </w:tcBorders>
            <w:shd w:val="clear" w:color="auto" w:fill="auto"/>
            <w:noWrap/>
            <w:vAlign w:val="center"/>
            <w:hideMark/>
          </w:tcPr>
          <w:p w14:paraId="0FBDD949" w14:textId="77777777" w:rsidR="005D324B" w:rsidRPr="005D324B" w:rsidRDefault="005D324B" w:rsidP="005D324B">
            <w:pPr>
              <w:jc w:val="center"/>
              <w:rPr>
                <w:rFonts w:cs="Calibri"/>
                <w:color w:val="000000"/>
                <w:sz w:val="20"/>
              </w:rPr>
            </w:pPr>
            <w:r w:rsidRPr="005D324B">
              <w:rPr>
                <w:rFonts w:cs="Calibri"/>
                <w:color w:val="000000"/>
                <w:sz w:val="20"/>
              </w:rPr>
              <w:t>58</w:t>
            </w:r>
          </w:p>
        </w:tc>
        <w:tc>
          <w:tcPr>
            <w:tcW w:w="1000" w:type="dxa"/>
            <w:tcBorders>
              <w:top w:val="nil"/>
              <w:left w:val="nil"/>
              <w:bottom w:val="single" w:sz="4" w:space="0" w:color="auto"/>
              <w:right w:val="nil"/>
            </w:tcBorders>
            <w:shd w:val="clear" w:color="auto" w:fill="auto"/>
            <w:noWrap/>
            <w:vAlign w:val="center"/>
            <w:hideMark/>
          </w:tcPr>
          <w:p w14:paraId="01458DAE" w14:textId="77777777" w:rsidR="005D324B" w:rsidRPr="005D324B" w:rsidRDefault="005D324B" w:rsidP="005D324B">
            <w:pPr>
              <w:jc w:val="center"/>
              <w:rPr>
                <w:rFonts w:cs="Calibri"/>
                <w:color w:val="000000"/>
                <w:sz w:val="20"/>
              </w:rPr>
            </w:pPr>
            <w:r w:rsidRPr="005D324B">
              <w:rPr>
                <w:rFonts w:cs="Calibri"/>
                <w:color w:val="000000"/>
                <w:sz w:val="20"/>
              </w:rPr>
              <w:t>53</w:t>
            </w:r>
          </w:p>
        </w:tc>
        <w:tc>
          <w:tcPr>
            <w:tcW w:w="1000" w:type="dxa"/>
            <w:tcBorders>
              <w:top w:val="nil"/>
              <w:left w:val="nil"/>
              <w:bottom w:val="single" w:sz="4" w:space="0" w:color="auto"/>
              <w:right w:val="nil"/>
            </w:tcBorders>
            <w:shd w:val="clear" w:color="auto" w:fill="auto"/>
            <w:noWrap/>
            <w:vAlign w:val="center"/>
            <w:hideMark/>
          </w:tcPr>
          <w:p w14:paraId="6459081D" w14:textId="77777777" w:rsidR="005D324B" w:rsidRPr="005D324B" w:rsidRDefault="005D324B" w:rsidP="005D324B">
            <w:pPr>
              <w:jc w:val="center"/>
              <w:rPr>
                <w:rFonts w:cs="Calibri"/>
                <w:color w:val="000000"/>
                <w:sz w:val="20"/>
              </w:rPr>
            </w:pPr>
            <w:r w:rsidRPr="005D324B">
              <w:rPr>
                <w:rFonts w:cs="Calibri"/>
                <w:color w:val="000000"/>
                <w:sz w:val="20"/>
              </w:rPr>
              <w:t>50</w:t>
            </w:r>
          </w:p>
        </w:tc>
        <w:tc>
          <w:tcPr>
            <w:tcW w:w="927" w:type="dxa"/>
            <w:tcBorders>
              <w:top w:val="nil"/>
              <w:left w:val="nil"/>
              <w:bottom w:val="single" w:sz="4" w:space="0" w:color="auto"/>
              <w:right w:val="nil"/>
            </w:tcBorders>
            <w:shd w:val="clear" w:color="auto" w:fill="auto"/>
            <w:noWrap/>
            <w:vAlign w:val="bottom"/>
            <w:hideMark/>
          </w:tcPr>
          <w:p w14:paraId="46993610" w14:textId="77777777" w:rsidR="005D324B" w:rsidRPr="005D324B" w:rsidRDefault="005D324B" w:rsidP="005D324B">
            <w:pPr>
              <w:jc w:val="center"/>
              <w:rPr>
                <w:rFonts w:cs="Calibri"/>
                <w:color w:val="000000"/>
                <w:sz w:val="20"/>
              </w:rPr>
            </w:pPr>
            <w:r w:rsidRPr="005D324B">
              <w:rPr>
                <w:rFonts w:cs="Calibri"/>
                <w:color w:val="000000"/>
                <w:sz w:val="20"/>
              </w:rPr>
              <w:t>-12</w:t>
            </w:r>
          </w:p>
        </w:tc>
        <w:tc>
          <w:tcPr>
            <w:tcW w:w="1022" w:type="dxa"/>
            <w:tcBorders>
              <w:top w:val="nil"/>
              <w:left w:val="nil"/>
              <w:bottom w:val="single" w:sz="4" w:space="0" w:color="auto"/>
              <w:right w:val="nil"/>
            </w:tcBorders>
            <w:shd w:val="clear" w:color="auto" w:fill="auto"/>
            <w:noWrap/>
            <w:vAlign w:val="bottom"/>
            <w:hideMark/>
          </w:tcPr>
          <w:p w14:paraId="7EBBD242" w14:textId="77777777" w:rsidR="005D324B" w:rsidRPr="005D324B" w:rsidRDefault="005D324B" w:rsidP="005D324B">
            <w:pPr>
              <w:jc w:val="center"/>
              <w:rPr>
                <w:rFonts w:cs="Calibri"/>
                <w:color w:val="000000"/>
                <w:sz w:val="20"/>
              </w:rPr>
            </w:pPr>
            <w:r w:rsidRPr="005D324B">
              <w:rPr>
                <w:rFonts w:cs="Calibri"/>
                <w:color w:val="000000"/>
                <w:sz w:val="20"/>
              </w:rPr>
              <w:t>-19%</w:t>
            </w:r>
          </w:p>
        </w:tc>
      </w:tr>
      <w:tr w:rsidR="005D324B" w:rsidRPr="005D324B" w14:paraId="117BABFF"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32C400C4" w14:textId="77777777" w:rsidR="005D324B" w:rsidRPr="005D324B" w:rsidRDefault="005D324B" w:rsidP="005D324B">
            <w:pPr>
              <w:rPr>
                <w:rFonts w:cs="Calibri"/>
                <w:color w:val="000000"/>
                <w:sz w:val="20"/>
              </w:rPr>
            </w:pPr>
            <w:r w:rsidRPr="005D324B">
              <w:rPr>
                <w:rFonts w:cs="Calibri"/>
                <w:color w:val="000000"/>
                <w:sz w:val="20"/>
              </w:rPr>
              <w:t>Wisconsin</w:t>
            </w:r>
          </w:p>
        </w:tc>
        <w:tc>
          <w:tcPr>
            <w:tcW w:w="1000" w:type="dxa"/>
            <w:tcBorders>
              <w:top w:val="nil"/>
              <w:left w:val="nil"/>
              <w:bottom w:val="single" w:sz="4" w:space="0" w:color="auto"/>
              <w:right w:val="nil"/>
            </w:tcBorders>
            <w:shd w:val="clear" w:color="auto" w:fill="auto"/>
            <w:noWrap/>
            <w:vAlign w:val="center"/>
            <w:hideMark/>
          </w:tcPr>
          <w:p w14:paraId="245E28C9" w14:textId="77777777" w:rsidR="005D324B" w:rsidRPr="005D324B" w:rsidRDefault="005D324B" w:rsidP="005D324B">
            <w:pPr>
              <w:jc w:val="center"/>
              <w:rPr>
                <w:rFonts w:cs="Calibri"/>
                <w:color w:val="000000"/>
                <w:sz w:val="20"/>
              </w:rPr>
            </w:pPr>
            <w:r w:rsidRPr="005D324B">
              <w:rPr>
                <w:rFonts w:cs="Calibri"/>
                <w:color w:val="000000"/>
                <w:sz w:val="20"/>
              </w:rPr>
              <w:t>97</w:t>
            </w:r>
          </w:p>
        </w:tc>
        <w:tc>
          <w:tcPr>
            <w:tcW w:w="1000" w:type="dxa"/>
            <w:tcBorders>
              <w:top w:val="nil"/>
              <w:left w:val="nil"/>
              <w:bottom w:val="single" w:sz="4" w:space="0" w:color="auto"/>
              <w:right w:val="nil"/>
            </w:tcBorders>
            <w:shd w:val="clear" w:color="auto" w:fill="auto"/>
            <w:noWrap/>
            <w:vAlign w:val="center"/>
            <w:hideMark/>
          </w:tcPr>
          <w:p w14:paraId="4B4F68BB" w14:textId="77777777" w:rsidR="005D324B" w:rsidRPr="005D324B" w:rsidRDefault="005D324B" w:rsidP="005D324B">
            <w:pPr>
              <w:jc w:val="center"/>
              <w:rPr>
                <w:rFonts w:cs="Calibri"/>
                <w:color w:val="000000"/>
                <w:sz w:val="20"/>
              </w:rPr>
            </w:pPr>
            <w:r w:rsidRPr="005D324B">
              <w:rPr>
                <w:rFonts w:cs="Calibri"/>
                <w:color w:val="000000"/>
                <w:sz w:val="20"/>
              </w:rPr>
              <w:t>84</w:t>
            </w:r>
          </w:p>
        </w:tc>
        <w:tc>
          <w:tcPr>
            <w:tcW w:w="1000" w:type="dxa"/>
            <w:tcBorders>
              <w:top w:val="nil"/>
              <w:left w:val="nil"/>
              <w:bottom w:val="single" w:sz="4" w:space="0" w:color="auto"/>
              <w:right w:val="nil"/>
            </w:tcBorders>
            <w:shd w:val="clear" w:color="auto" w:fill="auto"/>
            <w:noWrap/>
            <w:vAlign w:val="center"/>
            <w:hideMark/>
          </w:tcPr>
          <w:p w14:paraId="4071B33D" w14:textId="77777777" w:rsidR="005D324B" w:rsidRPr="005D324B" w:rsidRDefault="005D324B" w:rsidP="005D324B">
            <w:pPr>
              <w:jc w:val="center"/>
              <w:rPr>
                <w:rFonts w:cs="Calibri"/>
                <w:color w:val="000000"/>
                <w:sz w:val="20"/>
              </w:rPr>
            </w:pPr>
            <w:r w:rsidRPr="005D324B">
              <w:rPr>
                <w:rFonts w:cs="Calibri"/>
                <w:color w:val="000000"/>
                <w:sz w:val="20"/>
              </w:rPr>
              <w:t>84</w:t>
            </w:r>
          </w:p>
        </w:tc>
        <w:tc>
          <w:tcPr>
            <w:tcW w:w="1000" w:type="dxa"/>
            <w:tcBorders>
              <w:top w:val="nil"/>
              <w:left w:val="nil"/>
              <w:bottom w:val="single" w:sz="4" w:space="0" w:color="auto"/>
              <w:right w:val="nil"/>
            </w:tcBorders>
            <w:shd w:val="clear" w:color="auto" w:fill="auto"/>
            <w:noWrap/>
            <w:vAlign w:val="center"/>
            <w:hideMark/>
          </w:tcPr>
          <w:p w14:paraId="64F5F4D0" w14:textId="77777777" w:rsidR="005D324B" w:rsidRPr="005D324B" w:rsidRDefault="005D324B" w:rsidP="005D324B">
            <w:pPr>
              <w:jc w:val="center"/>
              <w:rPr>
                <w:rFonts w:cs="Calibri"/>
                <w:color w:val="000000"/>
                <w:sz w:val="20"/>
              </w:rPr>
            </w:pPr>
            <w:r w:rsidRPr="005D324B">
              <w:rPr>
                <w:rFonts w:cs="Calibri"/>
                <w:color w:val="000000"/>
                <w:sz w:val="20"/>
              </w:rPr>
              <w:t>84</w:t>
            </w:r>
          </w:p>
        </w:tc>
        <w:tc>
          <w:tcPr>
            <w:tcW w:w="1000" w:type="dxa"/>
            <w:tcBorders>
              <w:top w:val="nil"/>
              <w:left w:val="nil"/>
              <w:bottom w:val="single" w:sz="4" w:space="0" w:color="auto"/>
              <w:right w:val="nil"/>
            </w:tcBorders>
            <w:shd w:val="clear" w:color="auto" w:fill="auto"/>
            <w:noWrap/>
            <w:vAlign w:val="center"/>
            <w:hideMark/>
          </w:tcPr>
          <w:p w14:paraId="4ABDBE9B" w14:textId="77777777" w:rsidR="005D324B" w:rsidRPr="005D324B" w:rsidRDefault="005D324B" w:rsidP="005D324B">
            <w:pPr>
              <w:jc w:val="center"/>
              <w:rPr>
                <w:rFonts w:cs="Calibri"/>
                <w:color w:val="000000"/>
                <w:sz w:val="20"/>
              </w:rPr>
            </w:pPr>
            <w:r w:rsidRPr="005D324B">
              <w:rPr>
                <w:rFonts w:cs="Calibri"/>
                <w:color w:val="000000"/>
                <w:sz w:val="20"/>
              </w:rPr>
              <w:t>81</w:t>
            </w:r>
          </w:p>
        </w:tc>
        <w:tc>
          <w:tcPr>
            <w:tcW w:w="927" w:type="dxa"/>
            <w:tcBorders>
              <w:top w:val="nil"/>
              <w:left w:val="nil"/>
              <w:bottom w:val="single" w:sz="4" w:space="0" w:color="auto"/>
              <w:right w:val="nil"/>
            </w:tcBorders>
            <w:shd w:val="clear" w:color="auto" w:fill="auto"/>
            <w:noWrap/>
            <w:vAlign w:val="bottom"/>
            <w:hideMark/>
          </w:tcPr>
          <w:p w14:paraId="6C46217D" w14:textId="77777777" w:rsidR="005D324B" w:rsidRPr="005D324B" w:rsidRDefault="005D324B" w:rsidP="005D324B">
            <w:pPr>
              <w:jc w:val="center"/>
              <w:rPr>
                <w:rFonts w:cs="Calibri"/>
                <w:color w:val="000000"/>
                <w:sz w:val="20"/>
              </w:rPr>
            </w:pPr>
            <w:r w:rsidRPr="005D324B">
              <w:rPr>
                <w:rFonts w:cs="Calibri"/>
                <w:color w:val="000000"/>
                <w:sz w:val="20"/>
              </w:rPr>
              <w:t>-16</w:t>
            </w:r>
          </w:p>
        </w:tc>
        <w:tc>
          <w:tcPr>
            <w:tcW w:w="1022" w:type="dxa"/>
            <w:tcBorders>
              <w:top w:val="nil"/>
              <w:left w:val="nil"/>
              <w:bottom w:val="single" w:sz="4" w:space="0" w:color="auto"/>
              <w:right w:val="nil"/>
            </w:tcBorders>
            <w:shd w:val="clear" w:color="auto" w:fill="auto"/>
            <w:noWrap/>
            <w:vAlign w:val="bottom"/>
            <w:hideMark/>
          </w:tcPr>
          <w:p w14:paraId="597FA8CD" w14:textId="77777777" w:rsidR="005D324B" w:rsidRPr="005D324B" w:rsidRDefault="005D324B" w:rsidP="005D324B">
            <w:pPr>
              <w:jc w:val="center"/>
              <w:rPr>
                <w:rFonts w:cs="Calibri"/>
                <w:color w:val="000000"/>
                <w:sz w:val="20"/>
              </w:rPr>
            </w:pPr>
            <w:r w:rsidRPr="005D324B">
              <w:rPr>
                <w:rFonts w:cs="Calibri"/>
                <w:color w:val="000000"/>
                <w:sz w:val="20"/>
              </w:rPr>
              <w:t>-16%</w:t>
            </w:r>
          </w:p>
        </w:tc>
      </w:tr>
      <w:tr w:rsidR="005D324B" w:rsidRPr="005D324B" w14:paraId="5728ADEF" w14:textId="77777777" w:rsidTr="00F60E05">
        <w:trPr>
          <w:trHeight w:val="312"/>
        </w:trPr>
        <w:tc>
          <w:tcPr>
            <w:tcW w:w="1420" w:type="dxa"/>
            <w:tcBorders>
              <w:top w:val="nil"/>
              <w:left w:val="nil"/>
              <w:bottom w:val="single" w:sz="4" w:space="0" w:color="auto"/>
              <w:right w:val="nil"/>
            </w:tcBorders>
            <w:shd w:val="clear" w:color="auto" w:fill="auto"/>
            <w:noWrap/>
            <w:vAlign w:val="center"/>
            <w:hideMark/>
          </w:tcPr>
          <w:p w14:paraId="50822236" w14:textId="77777777" w:rsidR="005D324B" w:rsidRPr="005D324B" w:rsidRDefault="005D324B" w:rsidP="005D324B">
            <w:pPr>
              <w:rPr>
                <w:rFonts w:cs="Calibri"/>
                <w:color w:val="000000"/>
                <w:sz w:val="20"/>
              </w:rPr>
            </w:pPr>
            <w:r w:rsidRPr="005D324B">
              <w:rPr>
                <w:rFonts w:cs="Calibri"/>
                <w:color w:val="000000"/>
                <w:sz w:val="20"/>
              </w:rPr>
              <w:t>Wyoming</w:t>
            </w:r>
          </w:p>
        </w:tc>
        <w:tc>
          <w:tcPr>
            <w:tcW w:w="1000" w:type="dxa"/>
            <w:tcBorders>
              <w:top w:val="nil"/>
              <w:left w:val="nil"/>
              <w:bottom w:val="single" w:sz="4" w:space="0" w:color="auto"/>
              <w:right w:val="nil"/>
            </w:tcBorders>
            <w:shd w:val="clear" w:color="auto" w:fill="auto"/>
            <w:noWrap/>
            <w:vAlign w:val="center"/>
            <w:hideMark/>
          </w:tcPr>
          <w:p w14:paraId="2B6763E2" w14:textId="77777777" w:rsidR="005D324B" w:rsidRPr="005D324B" w:rsidRDefault="005D324B" w:rsidP="005D324B">
            <w:pPr>
              <w:jc w:val="center"/>
              <w:rPr>
                <w:rFonts w:cs="Calibri"/>
                <w:color w:val="000000"/>
                <w:sz w:val="20"/>
              </w:rPr>
            </w:pPr>
            <w:r w:rsidRPr="005D324B">
              <w:rPr>
                <w:rFonts w:cs="Calibri"/>
                <w:color w:val="000000"/>
                <w:sz w:val="20"/>
              </w:rPr>
              <w:t>30</w:t>
            </w:r>
          </w:p>
        </w:tc>
        <w:tc>
          <w:tcPr>
            <w:tcW w:w="1000" w:type="dxa"/>
            <w:tcBorders>
              <w:top w:val="nil"/>
              <w:left w:val="nil"/>
              <w:bottom w:val="single" w:sz="4" w:space="0" w:color="auto"/>
              <w:right w:val="nil"/>
            </w:tcBorders>
            <w:shd w:val="clear" w:color="auto" w:fill="auto"/>
            <w:noWrap/>
            <w:vAlign w:val="center"/>
            <w:hideMark/>
          </w:tcPr>
          <w:p w14:paraId="386FAF04" w14:textId="77777777" w:rsidR="005D324B" w:rsidRPr="005D324B" w:rsidRDefault="005D324B" w:rsidP="005D324B">
            <w:pPr>
              <w:jc w:val="center"/>
              <w:rPr>
                <w:rFonts w:cs="Calibri"/>
                <w:color w:val="000000"/>
                <w:sz w:val="20"/>
              </w:rPr>
            </w:pPr>
            <w:r w:rsidRPr="005D324B">
              <w:rPr>
                <w:rFonts w:cs="Calibri"/>
                <w:color w:val="000000"/>
                <w:sz w:val="20"/>
              </w:rPr>
              <w:t>29</w:t>
            </w:r>
          </w:p>
        </w:tc>
        <w:tc>
          <w:tcPr>
            <w:tcW w:w="1000" w:type="dxa"/>
            <w:tcBorders>
              <w:top w:val="nil"/>
              <w:left w:val="nil"/>
              <w:bottom w:val="single" w:sz="4" w:space="0" w:color="auto"/>
              <w:right w:val="nil"/>
            </w:tcBorders>
            <w:shd w:val="clear" w:color="auto" w:fill="auto"/>
            <w:noWrap/>
            <w:vAlign w:val="center"/>
            <w:hideMark/>
          </w:tcPr>
          <w:p w14:paraId="2F9A0518" w14:textId="77777777" w:rsidR="005D324B" w:rsidRPr="005D324B" w:rsidRDefault="005D324B" w:rsidP="005D324B">
            <w:pPr>
              <w:jc w:val="center"/>
              <w:rPr>
                <w:rFonts w:cs="Calibri"/>
                <w:color w:val="000000"/>
                <w:sz w:val="20"/>
              </w:rPr>
            </w:pPr>
            <w:r w:rsidRPr="005D324B">
              <w:rPr>
                <w:rFonts w:cs="Calibri"/>
                <w:color w:val="000000"/>
                <w:sz w:val="20"/>
              </w:rPr>
              <w:t>32</w:t>
            </w:r>
          </w:p>
        </w:tc>
        <w:tc>
          <w:tcPr>
            <w:tcW w:w="1000" w:type="dxa"/>
            <w:tcBorders>
              <w:top w:val="nil"/>
              <w:left w:val="nil"/>
              <w:bottom w:val="single" w:sz="4" w:space="0" w:color="auto"/>
              <w:right w:val="nil"/>
            </w:tcBorders>
            <w:shd w:val="clear" w:color="auto" w:fill="auto"/>
            <w:noWrap/>
            <w:vAlign w:val="center"/>
            <w:hideMark/>
          </w:tcPr>
          <w:p w14:paraId="42C23EFD" w14:textId="77777777" w:rsidR="005D324B" w:rsidRPr="005D324B" w:rsidRDefault="005D324B" w:rsidP="005D324B">
            <w:pPr>
              <w:jc w:val="center"/>
              <w:rPr>
                <w:rFonts w:cs="Calibri"/>
                <w:color w:val="000000"/>
                <w:sz w:val="20"/>
              </w:rPr>
            </w:pPr>
            <w:r w:rsidRPr="005D324B">
              <w:rPr>
                <w:rFonts w:cs="Calibri"/>
                <w:color w:val="000000"/>
                <w:sz w:val="20"/>
              </w:rPr>
              <w:t>28</w:t>
            </w:r>
          </w:p>
        </w:tc>
        <w:tc>
          <w:tcPr>
            <w:tcW w:w="1000" w:type="dxa"/>
            <w:tcBorders>
              <w:top w:val="nil"/>
              <w:left w:val="nil"/>
              <w:bottom w:val="single" w:sz="4" w:space="0" w:color="auto"/>
              <w:right w:val="nil"/>
            </w:tcBorders>
            <w:shd w:val="clear" w:color="auto" w:fill="auto"/>
            <w:noWrap/>
            <w:vAlign w:val="center"/>
            <w:hideMark/>
          </w:tcPr>
          <w:p w14:paraId="30F73E83" w14:textId="77777777" w:rsidR="005D324B" w:rsidRPr="005D324B" w:rsidRDefault="005D324B" w:rsidP="005D324B">
            <w:pPr>
              <w:jc w:val="center"/>
              <w:rPr>
                <w:rFonts w:cs="Calibri"/>
                <w:color w:val="000000"/>
                <w:sz w:val="20"/>
              </w:rPr>
            </w:pPr>
            <w:r w:rsidRPr="005D324B">
              <w:rPr>
                <w:rFonts w:cs="Calibri"/>
                <w:color w:val="000000"/>
                <w:sz w:val="20"/>
              </w:rPr>
              <w:t>26</w:t>
            </w:r>
          </w:p>
        </w:tc>
        <w:tc>
          <w:tcPr>
            <w:tcW w:w="927" w:type="dxa"/>
            <w:tcBorders>
              <w:top w:val="nil"/>
              <w:left w:val="nil"/>
              <w:bottom w:val="single" w:sz="4" w:space="0" w:color="auto"/>
              <w:right w:val="nil"/>
            </w:tcBorders>
            <w:shd w:val="clear" w:color="auto" w:fill="auto"/>
            <w:noWrap/>
            <w:vAlign w:val="bottom"/>
            <w:hideMark/>
          </w:tcPr>
          <w:p w14:paraId="1825EFD3" w14:textId="77777777" w:rsidR="005D324B" w:rsidRPr="005D324B" w:rsidRDefault="005D324B" w:rsidP="005D324B">
            <w:pPr>
              <w:jc w:val="center"/>
              <w:rPr>
                <w:rFonts w:cs="Calibri"/>
                <w:color w:val="000000"/>
                <w:sz w:val="20"/>
              </w:rPr>
            </w:pPr>
            <w:r w:rsidRPr="005D324B">
              <w:rPr>
                <w:rFonts w:cs="Calibri"/>
                <w:color w:val="000000"/>
                <w:sz w:val="20"/>
              </w:rPr>
              <w:t>-4</w:t>
            </w:r>
          </w:p>
        </w:tc>
        <w:tc>
          <w:tcPr>
            <w:tcW w:w="1022" w:type="dxa"/>
            <w:tcBorders>
              <w:top w:val="nil"/>
              <w:left w:val="nil"/>
              <w:bottom w:val="single" w:sz="4" w:space="0" w:color="auto"/>
              <w:right w:val="nil"/>
            </w:tcBorders>
            <w:shd w:val="clear" w:color="auto" w:fill="auto"/>
            <w:noWrap/>
            <w:vAlign w:val="bottom"/>
            <w:hideMark/>
          </w:tcPr>
          <w:p w14:paraId="026E2907" w14:textId="77777777" w:rsidR="005D324B" w:rsidRPr="005D324B" w:rsidRDefault="005D324B" w:rsidP="005D324B">
            <w:pPr>
              <w:jc w:val="center"/>
              <w:rPr>
                <w:rFonts w:cs="Calibri"/>
                <w:color w:val="000000"/>
                <w:sz w:val="20"/>
              </w:rPr>
            </w:pPr>
            <w:r w:rsidRPr="005D324B">
              <w:rPr>
                <w:rFonts w:cs="Calibri"/>
                <w:color w:val="000000"/>
                <w:sz w:val="20"/>
              </w:rPr>
              <w:t>-13%</w:t>
            </w:r>
          </w:p>
        </w:tc>
      </w:tr>
      <w:tr w:rsidR="00F60E05" w:rsidRPr="005D324B" w14:paraId="7427B5F9" w14:textId="77777777" w:rsidTr="00F60E05">
        <w:trPr>
          <w:trHeight w:val="312"/>
        </w:trPr>
        <w:tc>
          <w:tcPr>
            <w:tcW w:w="1420" w:type="dxa"/>
            <w:tcBorders>
              <w:top w:val="nil"/>
              <w:left w:val="nil"/>
              <w:bottom w:val="nil"/>
              <w:right w:val="nil"/>
            </w:tcBorders>
            <w:shd w:val="clear" w:color="000000" w:fill="FFFF00"/>
            <w:noWrap/>
            <w:vAlign w:val="center"/>
            <w:hideMark/>
          </w:tcPr>
          <w:p w14:paraId="4EA5931A" w14:textId="77777777" w:rsidR="005D324B" w:rsidRPr="005D324B" w:rsidRDefault="005D324B" w:rsidP="005D324B">
            <w:pPr>
              <w:rPr>
                <w:rFonts w:cs="Calibri"/>
                <w:b/>
                <w:bCs/>
                <w:color w:val="000000"/>
                <w:sz w:val="20"/>
              </w:rPr>
            </w:pPr>
            <w:r w:rsidRPr="005D324B">
              <w:rPr>
                <w:rFonts w:cs="Calibri"/>
                <w:b/>
                <w:bCs/>
                <w:color w:val="000000"/>
                <w:sz w:val="20"/>
              </w:rPr>
              <w:t>Total</w:t>
            </w:r>
          </w:p>
        </w:tc>
        <w:tc>
          <w:tcPr>
            <w:tcW w:w="1000" w:type="dxa"/>
            <w:tcBorders>
              <w:top w:val="nil"/>
              <w:left w:val="nil"/>
              <w:bottom w:val="nil"/>
              <w:right w:val="nil"/>
            </w:tcBorders>
            <w:shd w:val="clear" w:color="000000" w:fill="FFFF00"/>
            <w:noWrap/>
            <w:vAlign w:val="center"/>
            <w:hideMark/>
          </w:tcPr>
          <w:p w14:paraId="41091ECB" w14:textId="77777777" w:rsidR="005D324B" w:rsidRPr="005D324B" w:rsidRDefault="005D324B" w:rsidP="005D324B">
            <w:pPr>
              <w:jc w:val="center"/>
              <w:rPr>
                <w:rFonts w:cs="Calibri"/>
                <w:b/>
                <w:bCs/>
                <w:color w:val="000000"/>
                <w:sz w:val="20"/>
              </w:rPr>
            </w:pPr>
            <w:r w:rsidRPr="005D324B">
              <w:rPr>
                <w:rFonts w:cs="Calibri"/>
                <w:b/>
                <w:bCs/>
                <w:color w:val="000000"/>
                <w:sz w:val="20"/>
              </w:rPr>
              <w:t>9,136</w:t>
            </w:r>
          </w:p>
        </w:tc>
        <w:tc>
          <w:tcPr>
            <w:tcW w:w="1000" w:type="dxa"/>
            <w:tcBorders>
              <w:top w:val="nil"/>
              <w:left w:val="nil"/>
              <w:bottom w:val="nil"/>
              <w:right w:val="nil"/>
            </w:tcBorders>
            <w:shd w:val="clear" w:color="000000" w:fill="FFFF00"/>
            <w:noWrap/>
            <w:vAlign w:val="center"/>
            <w:hideMark/>
          </w:tcPr>
          <w:p w14:paraId="15EF1D20" w14:textId="77777777" w:rsidR="005D324B" w:rsidRPr="005D324B" w:rsidRDefault="005D324B" w:rsidP="005D324B">
            <w:pPr>
              <w:jc w:val="center"/>
              <w:rPr>
                <w:rFonts w:cs="Calibri"/>
                <w:b/>
                <w:bCs/>
                <w:color w:val="000000"/>
                <w:sz w:val="20"/>
              </w:rPr>
            </w:pPr>
            <w:r w:rsidRPr="005D324B">
              <w:rPr>
                <w:rFonts w:cs="Calibri"/>
                <w:b/>
                <w:bCs/>
                <w:color w:val="000000"/>
                <w:sz w:val="20"/>
              </w:rPr>
              <w:t>8,729</w:t>
            </w:r>
          </w:p>
        </w:tc>
        <w:tc>
          <w:tcPr>
            <w:tcW w:w="1000" w:type="dxa"/>
            <w:tcBorders>
              <w:top w:val="nil"/>
              <w:left w:val="nil"/>
              <w:bottom w:val="nil"/>
              <w:right w:val="nil"/>
            </w:tcBorders>
            <w:shd w:val="clear" w:color="000000" w:fill="FFFF00"/>
            <w:noWrap/>
            <w:vAlign w:val="center"/>
            <w:hideMark/>
          </w:tcPr>
          <w:p w14:paraId="113D2421" w14:textId="77777777" w:rsidR="005D324B" w:rsidRPr="005D324B" w:rsidRDefault="005D324B" w:rsidP="005D324B">
            <w:pPr>
              <w:jc w:val="center"/>
              <w:rPr>
                <w:rFonts w:cs="Calibri"/>
                <w:b/>
                <w:bCs/>
                <w:color w:val="000000"/>
                <w:sz w:val="20"/>
              </w:rPr>
            </w:pPr>
            <w:r w:rsidRPr="005D324B">
              <w:rPr>
                <w:rFonts w:cs="Calibri"/>
                <w:b/>
                <w:bCs/>
                <w:color w:val="000000"/>
                <w:sz w:val="20"/>
              </w:rPr>
              <w:t>8,696</w:t>
            </w:r>
          </w:p>
        </w:tc>
        <w:tc>
          <w:tcPr>
            <w:tcW w:w="1000" w:type="dxa"/>
            <w:tcBorders>
              <w:top w:val="nil"/>
              <w:left w:val="nil"/>
              <w:bottom w:val="nil"/>
              <w:right w:val="nil"/>
            </w:tcBorders>
            <w:shd w:val="clear" w:color="000000" w:fill="FFFF00"/>
            <w:noWrap/>
            <w:vAlign w:val="center"/>
            <w:hideMark/>
          </w:tcPr>
          <w:p w14:paraId="719FAEBF" w14:textId="77777777" w:rsidR="005D324B" w:rsidRPr="005D324B" w:rsidRDefault="005D324B" w:rsidP="005D324B">
            <w:pPr>
              <w:jc w:val="center"/>
              <w:rPr>
                <w:rFonts w:cs="Calibri"/>
                <w:b/>
                <w:bCs/>
                <w:color w:val="000000"/>
                <w:sz w:val="20"/>
              </w:rPr>
            </w:pPr>
            <w:r w:rsidRPr="005D324B">
              <w:rPr>
                <w:rFonts w:cs="Calibri"/>
                <w:b/>
                <w:bCs/>
                <w:color w:val="000000"/>
                <w:sz w:val="20"/>
              </w:rPr>
              <w:t>8,543</w:t>
            </w:r>
          </w:p>
        </w:tc>
        <w:tc>
          <w:tcPr>
            <w:tcW w:w="1000" w:type="dxa"/>
            <w:tcBorders>
              <w:top w:val="nil"/>
              <w:left w:val="nil"/>
              <w:bottom w:val="nil"/>
              <w:right w:val="nil"/>
            </w:tcBorders>
            <w:shd w:val="clear" w:color="000000" w:fill="FFFF00"/>
            <w:noWrap/>
            <w:vAlign w:val="center"/>
            <w:hideMark/>
          </w:tcPr>
          <w:p w14:paraId="15FFCE66" w14:textId="77777777" w:rsidR="005D324B" w:rsidRPr="005D324B" w:rsidRDefault="005D324B" w:rsidP="005D324B">
            <w:pPr>
              <w:jc w:val="center"/>
              <w:rPr>
                <w:rFonts w:cs="Calibri"/>
                <w:b/>
                <w:bCs/>
                <w:color w:val="000000"/>
                <w:sz w:val="20"/>
              </w:rPr>
            </w:pPr>
            <w:r w:rsidRPr="005D324B">
              <w:rPr>
                <w:rFonts w:cs="Calibri"/>
                <w:b/>
                <w:bCs/>
                <w:color w:val="000000"/>
                <w:sz w:val="20"/>
              </w:rPr>
              <w:t>8,345</w:t>
            </w:r>
          </w:p>
        </w:tc>
        <w:tc>
          <w:tcPr>
            <w:tcW w:w="927" w:type="dxa"/>
            <w:tcBorders>
              <w:top w:val="nil"/>
              <w:left w:val="nil"/>
              <w:bottom w:val="nil"/>
              <w:right w:val="nil"/>
            </w:tcBorders>
            <w:shd w:val="clear" w:color="000000" w:fill="FFFF00"/>
            <w:noWrap/>
            <w:vAlign w:val="center"/>
            <w:hideMark/>
          </w:tcPr>
          <w:p w14:paraId="119DE005" w14:textId="77777777" w:rsidR="005D324B" w:rsidRPr="005D324B" w:rsidRDefault="005D324B" w:rsidP="005D324B">
            <w:pPr>
              <w:jc w:val="center"/>
              <w:rPr>
                <w:rFonts w:cs="Calibri"/>
                <w:b/>
                <w:bCs/>
                <w:color w:val="000000"/>
                <w:sz w:val="20"/>
              </w:rPr>
            </w:pPr>
            <w:r w:rsidRPr="005D324B">
              <w:rPr>
                <w:rFonts w:cs="Calibri"/>
                <w:b/>
                <w:bCs/>
                <w:color w:val="000000"/>
                <w:sz w:val="20"/>
              </w:rPr>
              <w:t>-791</w:t>
            </w:r>
          </w:p>
        </w:tc>
        <w:tc>
          <w:tcPr>
            <w:tcW w:w="1022" w:type="dxa"/>
            <w:tcBorders>
              <w:top w:val="nil"/>
              <w:left w:val="nil"/>
              <w:bottom w:val="nil"/>
              <w:right w:val="nil"/>
            </w:tcBorders>
            <w:shd w:val="clear" w:color="000000" w:fill="FFFF00"/>
            <w:noWrap/>
            <w:vAlign w:val="center"/>
            <w:hideMark/>
          </w:tcPr>
          <w:p w14:paraId="70A7E5CC" w14:textId="77777777" w:rsidR="005D324B" w:rsidRPr="005D324B" w:rsidRDefault="005D324B" w:rsidP="005D324B">
            <w:pPr>
              <w:jc w:val="center"/>
              <w:rPr>
                <w:rFonts w:cs="Calibri"/>
                <w:b/>
                <w:bCs/>
                <w:color w:val="000000"/>
                <w:sz w:val="20"/>
              </w:rPr>
            </w:pPr>
            <w:r w:rsidRPr="005D324B">
              <w:rPr>
                <w:rFonts w:cs="Calibri"/>
                <w:b/>
                <w:bCs/>
                <w:color w:val="000000"/>
                <w:sz w:val="20"/>
              </w:rPr>
              <w:t>-9%</w:t>
            </w:r>
          </w:p>
        </w:tc>
      </w:tr>
    </w:tbl>
    <w:p w14:paraId="4E7DC5CF" w14:textId="1ECB98C4" w:rsidR="00691B9E" w:rsidRDefault="00691B9E" w:rsidP="00F60E05">
      <w:pPr>
        <w:rPr>
          <w:rFonts w:cs="Calibri"/>
          <w:b/>
          <w:bCs/>
          <w:color w:val="000000"/>
          <w:sz w:val="20"/>
        </w:rPr>
      </w:pPr>
    </w:p>
    <w:tbl>
      <w:tblPr>
        <w:tblW w:w="8280" w:type="dxa"/>
        <w:tblLook w:val="04A0" w:firstRow="1" w:lastRow="0" w:firstColumn="1" w:lastColumn="0" w:noHBand="0" w:noVBand="1"/>
      </w:tblPr>
      <w:tblGrid>
        <w:gridCol w:w="1280"/>
        <w:gridCol w:w="51"/>
        <w:gridCol w:w="949"/>
        <w:gridCol w:w="51"/>
        <w:gridCol w:w="949"/>
        <w:gridCol w:w="51"/>
        <w:gridCol w:w="949"/>
        <w:gridCol w:w="51"/>
        <w:gridCol w:w="949"/>
        <w:gridCol w:w="51"/>
        <w:gridCol w:w="949"/>
        <w:gridCol w:w="51"/>
        <w:gridCol w:w="927"/>
        <w:gridCol w:w="22"/>
        <w:gridCol w:w="1000"/>
      </w:tblGrid>
      <w:tr w:rsidR="00691B9E" w:rsidRPr="00691B9E" w14:paraId="27E04186" w14:textId="77777777" w:rsidTr="00691B9E">
        <w:trPr>
          <w:trHeight w:val="312"/>
        </w:trPr>
        <w:tc>
          <w:tcPr>
            <w:tcW w:w="1280" w:type="dxa"/>
            <w:tcBorders>
              <w:top w:val="single" w:sz="4" w:space="0" w:color="auto"/>
              <w:left w:val="nil"/>
              <w:bottom w:val="single" w:sz="4" w:space="0" w:color="auto"/>
              <w:right w:val="nil"/>
            </w:tcBorders>
            <w:shd w:val="clear" w:color="000000" w:fill="FFFF00"/>
            <w:noWrap/>
            <w:vAlign w:val="center"/>
            <w:hideMark/>
          </w:tcPr>
          <w:p w14:paraId="4A1A80BF" w14:textId="66238DF5" w:rsidR="00691B9E" w:rsidRPr="00691B9E" w:rsidRDefault="00691B9E" w:rsidP="00691B9E">
            <w:pPr>
              <w:rPr>
                <w:rFonts w:cs="Calibri"/>
                <w:b/>
                <w:bCs/>
                <w:color w:val="000000"/>
                <w:sz w:val="20"/>
              </w:rPr>
            </w:pPr>
            <w:r w:rsidRPr="00691B9E">
              <w:rPr>
                <w:rFonts w:cs="Calibri"/>
                <w:b/>
                <w:bCs/>
                <w:color w:val="000000"/>
                <w:sz w:val="20"/>
              </w:rPr>
              <w:t>Total</w:t>
            </w:r>
            <w:r>
              <w:rPr>
                <w:rFonts w:cs="Calibri"/>
                <w:b/>
                <w:bCs/>
                <w:color w:val="000000"/>
                <w:sz w:val="20"/>
              </w:rPr>
              <w:t xml:space="preserve"> w/o CA</w:t>
            </w:r>
          </w:p>
        </w:tc>
        <w:tc>
          <w:tcPr>
            <w:tcW w:w="1000" w:type="dxa"/>
            <w:gridSpan w:val="2"/>
            <w:tcBorders>
              <w:top w:val="single" w:sz="4" w:space="0" w:color="auto"/>
              <w:left w:val="nil"/>
              <w:bottom w:val="single" w:sz="4" w:space="0" w:color="auto"/>
              <w:right w:val="nil"/>
            </w:tcBorders>
            <w:shd w:val="clear" w:color="000000" w:fill="FFFF00"/>
            <w:noWrap/>
            <w:vAlign w:val="center"/>
            <w:hideMark/>
          </w:tcPr>
          <w:p w14:paraId="75CA0476" w14:textId="77777777" w:rsidR="00691B9E" w:rsidRPr="00691B9E" w:rsidRDefault="00691B9E" w:rsidP="00691B9E">
            <w:pPr>
              <w:jc w:val="center"/>
              <w:rPr>
                <w:rFonts w:cs="Calibri"/>
                <w:b/>
                <w:bCs/>
                <w:color w:val="000000"/>
                <w:sz w:val="20"/>
              </w:rPr>
            </w:pPr>
            <w:r w:rsidRPr="00691B9E">
              <w:rPr>
                <w:rFonts w:cs="Calibri"/>
                <w:b/>
                <w:bCs/>
                <w:color w:val="000000"/>
                <w:sz w:val="20"/>
              </w:rPr>
              <w:t>7,793</w:t>
            </w:r>
          </w:p>
        </w:tc>
        <w:tc>
          <w:tcPr>
            <w:tcW w:w="1000" w:type="dxa"/>
            <w:gridSpan w:val="2"/>
            <w:tcBorders>
              <w:top w:val="single" w:sz="4" w:space="0" w:color="auto"/>
              <w:left w:val="nil"/>
              <w:bottom w:val="single" w:sz="4" w:space="0" w:color="auto"/>
              <w:right w:val="nil"/>
            </w:tcBorders>
            <w:shd w:val="clear" w:color="000000" w:fill="FFFF00"/>
            <w:noWrap/>
            <w:vAlign w:val="center"/>
            <w:hideMark/>
          </w:tcPr>
          <w:p w14:paraId="621A2457" w14:textId="77777777" w:rsidR="00691B9E" w:rsidRPr="00691B9E" w:rsidRDefault="00691B9E" w:rsidP="00691B9E">
            <w:pPr>
              <w:jc w:val="center"/>
              <w:rPr>
                <w:rFonts w:cs="Calibri"/>
                <w:b/>
                <w:bCs/>
                <w:color w:val="000000"/>
                <w:sz w:val="20"/>
              </w:rPr>
            </w:pPr>
            <w:r w:rsidRPr="00691B9E">
              <w:rPr>
                <w:rFonts w:cs="Calibri"/>
                <w:b/>
                <w:bCs/>
                <w:color w:val="000000"/>
                <w:sz w:val="20"/>
              </w:rPr>
              <w:t>7,312</w:t>
            </w:r>
          </w:p>
        </w:tc>
        <w:tc>
          <w:tcPr>
            <w:tcW w:w="1000" w:type="dxa"/>
            <w:gridSpan w:val="2"/>
            <w:tcBorders>
              <w:top w:val="single" w:sz="4" w:space="0" w:color="auto"/>
              <w:left w:val="nil"/>
              <w:bottom w:val="single" w:sz="4" w:space="0" w:color="auto"/>
              <w:right w:val="nil"/>
            </w:tcBorders>
            <w:shd w:val="clear" w:color="000000" w:fill="FFFF00"/>
            <w:noWrap/>
            <w:vAlign w:val="center"/>
            <w:hideMark/>
          </w:tcPr>
          <w:p w14:paraId="1FF11904" w14:textId="77777777" w:rsidR="00691B9E" w:rsidRPr="00691B9E" w:rsidRDefault="00691B9E" w:rsidP="00691B9E">
            <w:pPr>
              <w:jc w:val="center"/>
              <w:rPr>
                <w:rFonts w:cs="Calibri"/>
                <w:b/>
                <w:bCs/>
                <w:color w:val="000000"/>
                <w:sz w:val="20"/>
              </w:rPr>
            </w:pPr>
            <w:r w:rsidRPr="00691B9E">
              <w:rPr>
                <w:rFonts w:cs="Calibri"/>
                <w:b/>
                <w:bCs/>
                <w:color w:val="000000"/>
                <w:sz w:val="20"/>
              </w:rPr>
              <w:t>7,150</w:t>
            </w:r>
          </w:p>
        </w:tc>
        <w:tc>
          <w:tcPr>
            <w:tcW w:w="1000" w:type="dxa"/>
            <w:gridSpan w:val="2"/>
            <w:tcBorders>
              <w:top w:val="single" w:sz="4" w:space="0" w:color="auto"/>
              <w:left w:val="nil"/>
              <w:bottom w:val="single" w:sz="4" w:space="0" w:color="auto"/>
              <w:right w:val="nil"/>
            </w:tcBorders>
            <w:shd w:val="clear" w:color="000000" w:fill="FFFF00"/>
            <w:noWrap/>
            <w:vAlign w:val="center"/>
            <w:hideMark/>
          </w:tcPr>
          <w:p w14:paraId="7F596825" w14:textId="77777777" w:rsidR="00691B9E" w:rsidRPr="00691B9E" w:rsidRDefault="00691B9E" w:rsidP="00691B9E">
            <w:pPr>
              <w:jc w:val="center"/>
              <w:rPr>
                <w:rFonts w:cs="Calibri"/>
                <w:b/>
                <w:bCs/>
                <w:color w:val="000000"/>
                <w:sz w:val="20"/>
              </w:rPr>
            </w:pPr>
            <w:r w:rsidRPr="00691B9E">
              <w:rPr>
                <w:rFonts w:cs="Calibri"/>
                <w:b/>
                <w:bCs/>
                <w:color w:val="000000"/>
                <w:sz w:val="20"/>
              </w:rPr>
              <w:t>6,800</w:t>
            </w:r>
          </w:p>
        </w:tc>
        <w:tc>
          <w:tcPr>
            <w:tcW w:w="1000" w:type="dxa"/>
            <w:gridSpan w:val="2"/>
            <w:tcBorders>
              <w:top w:val="single" w:sz="4" w:space="0" w:color="auto"/>
              <w:left w:val="nil"/>
              <w:bottom w:val="single" w:sz="4" w:space="0" w:color="auto"/>
              <w:right w:val="nil"/>
            </w:tcBorders>
            <w:shd w:val="clear" w:color="000000" w:fill="FFFF00"/>
            <w:noWrap/>
            <w:vAlign w:val="center"/>
            <w:hideMark/>
          </w:tcPr>
          <w:p w14:paraId="23FD4E67" w14:textId="77777777" w:rsidR="00691B9E" w:rsidRPr="00691B9E" w:rsidRDefault="00691B9E" w:rsidP="00691B9E">
            <w:pPr>
              <w:jc w:val="center"/>
              <w:rPr>
                <w:rFonts w:cs="Calibri"/>
                <w:b/>
                <w:bCs/>
                <w:color w:val="000000"/>
                <w:sz w:val="20"/>
              </w:rPr>
            </w:pPr>
            <w:r w:rsidRPr="00691B9E">
              <w:rPr>
                <w:rFonts w:cs="Calibri"/>
                <w:b/>
                <w:bCs/>
                <w:color w:val="000000"/>
                <w:sz w:val="20"/>
              </w:rPr>
              <w:t>6,468</w:t>
            </w:r>
          </w:p>
        </w:tc>
        <w:tc>
          <w:tcPr>
            <w:tcW w:w="1000" w:type="dxa"/>
            <w:gridSpan w:val="3"/>
            <w:tcBorders>
              <w:top w:val="single" w:sz="4" w:space="0" w:color="auto"/>
              <w:left w:val="nil"/>
              <w:bottom w:val="single" w:sz="4" w:space="0" w:color="auto"/>
              <w:right w:val="nil"/>
            </w:tcBorders>
            <w:shd w:val="clear" w:color="000000" w:fill="FFFF00"/>
            <w:noWrap/>
            <w:vAlign w:val="center"/>
            <w:hideMark/>
          </w:tcPr>
          <w:p w14:paraId="47B57BBE" w14:textId="77777777" w:rsidR="00691B9E" w:rsidRPr="00691B9E" w:rsidRDefault="00691B9E" w:rsidP="00691B9E">
            <w:pPr>
              <w:jc w:val="center"/>
              <w:rPr>
                <w:rFonts w:cs="Calibri"/>
                <w:b/>
                <w:bCs/>
                <w:color w:val="000000"/>
                <w:sz w:val="20"/>
              </w:rPr>
            </w:pPr>
            <w:r w:rsidRPr="00691B9E">
              <w:rPr>
                <w:rFonts w:cs="Calibri"/>
                <w:b/>
                <w:bCs/>
                <w:color w:val="000000"/>
                <w:sz w:val="20"/>
              </w:rPr>
              <w:t>-1,325</w:t>
            </w:r>
          </w:p>
        </w:tc>
        <w:tc>
          <w:tcPr>
            <w:tcW w:w="1000" w:type="dxa"/>
            <w:tcBorders>
              <w:top w:val="single" w:sz="4" w:space="0" w:color="auto"/>
              <w:left w:val="nil"/>
              <w:bottom w:val="single" w:sz="4" w:space="0" w:color="auto"/>
              <w:right w:val="nil"/>
            </w:tcBorders>
            <w:shd w:val="clear" w:color="000000" w:fill="FFFF00"/>
            <w:noWrap/>
            <w:vAlign w:val="center"/>
            <w:hideMark/>
          </w:tcPr>
          <w:p w14:paraId="1858F5F4" w14:textId="77777777" w:rsidR="00691B9E" w:rsidRPr="00691B9E" w:rsidRDefault="00691B9E" w:rsidP="00691B9E">
            <w:pPr>
              <w:jc w:val="center"/>
              <w:rPr>
                <w:rFonts w:cs="Calibri"/>
                <w:b/>
                <w:bCs/>
                <w:color w:val="000000"/>
                <w:sz w:val="20"/>
              </w:rPr>
            </w:pPr>
            <w:r w:rsidRPr="00691B9E">
              <w:rPr>
                <w:rFonts w:cs="Calibri"/>
                <w:b/>
                <w:bCs/>
                <w:color w:val="000000"/>
                <w:sz w:val="20"/>
              </w:rPr>
              <w:t>-17%</w:t>
            </w:r>
          </w:p>
        </w:tc>
      </w:tr>
      <w:tr w:rsidR="00F60E05" w:rsidRPr="005D324B" w14:paraId="1550971B" w14:textId="77777777" w:rsidTr="005D324B">
        <w:trPr>
          <w:trHeight w:val="312"/>
        </w:trPr>
        <w:tc>
          <w:tcPr>
            <w:tcW w:w="1331" w:type="dxa"/>
            <w:gridSpan w:val="2"/>
            <w:tcBorders>
              <w:top w:val="nil"/>
              <w:left w:val="nil"/>
              <w:bottom w:val="single" w:sz="4" w:space="0" w:color="auto"/>
              <w:right w:val="nil"/>
            </w:tcBorders>
            <w:shd w:val="clear" w:color="000000" w:fill="FFFF00"/>
            <w:noWrap/>
            <w:vAlign w:val="center"/>
          </w:tcPr>
          <w:p w14:paraId="088CE677" w14:textId="77777777" w:rsidR="00F60E05" w:rsidRPr="005D324B" w:rsidRDefault="00F60E05" w:rsidP="005D324B">
            <w:pPr>
              <w:rPr>
                <w:rFonts w:cs="Calibri"/>
                <w:b/>
                <w:bCs/>
                <w:color w:val="000000"/>
                <w:sz w:val="20"/>
              </w:rPr>
            </w:pPr>
          </w:p>
        </w:tc>
        <w:tc>
          <w:tcPr>
            <w:tcW w:w="1000" w:type="dxa"/>
            <w:gridSpan w:val="2"/>
            <w:tcBorders>
              <w:top w:val="nil"/>
              <w:left w:val="nil"/>
              <w:bottom w:val="single" w:sz="4" w:space="0" w:color="auto"/>
              <w:right w:val="nil"/>
            </w:tcBorders>
            <w:shd w:val="clear" w:color="000000" w:fill="FFFF00"/>
            <w:noWrap/>
            <w:vAlign w:val="center"/>
          </w:tcPr>
          <w:p w14:paraId="207219C8" w14:textId="77777777" w:rsidR="00F60E05" w:rsidRPr="005D324B" w:rsidRDefault="00F60E05" w:rsidP="005D324B">
            <w:pPr>
              <w:jc w:val="center"/>
              <w:rPr>
                <w:rFonts w:cs="Calibri"/>
                <w:b/>
                <w:bCs/>
                <w:color w:val="000000"/>
                <w:sz w:val="20"/>
              </w:rPr>
            </w:pPr>
          </w:p>
        </w:tc>
        <w:tc>
          <w:tcPr>
            <w:tcW w:w="1000" w:type="dxa"/>
            <w:gridSpan w:val="2"/>
            <w:tcBorders>
              <w:top w:val="nil"/>
              <w:left w:val="nil"/>
              <w:bottom w:val="single" w:sz="4" w:space="0" w:color="auto"/>
              <w:right w:val="nil"/>
            </w:tcBorders>
            <w:shd w:val="clear" w:color="000000" w:fill="FFFF00"/>
            <w:noWrap/>
            <w:vAlign w:val="center"/>
          </w:tcPr>
          <w:p w14:paraId="5453CA1F" w14:textId="77777777" w:rsidR="00F60E05" w:rsidRPr="005D324B" w:rsidRDefault="00F60E05" w:rsidP="005D324B">
            <w:pPr>
              <w:jc w:val="center"/>
              <w:rPr>
                <w:rFonts w:cs="Calibri"/>
                <w:b/>
                <w:bCs/>
                <w:color w:val="000000"/>
                <w:sz w:val="20"/>
              </w:rPr>
            </w:pPr>
          </w:p>
        </w:tc>
        <w:tc>
          <w:tcPr>
            <w:tcW w:w="1000" w:type="dxa"/>
            <w:gridSpan w:val="2"/>
            <w:tcBorders>
              <w:top w:val="nil"/>
              <w:left w:val="nil"/>
              <w:bottom w:val="single" w:sz="4" w:space="0" w:color="auto"/>
              <w:right w:val="nil"/>
            </w:tcBorders>
            <w:shd w:val="clear" w:color="000000" w:fill="FFFF00"/>
            <w:noWrap/>
            <w:vAlign w:val="center"/>
          </w:tcPr>
          <w:p w14:paraId="2D7DF781" w14:textId="77777777" w:rsidR="00F60E05" w:rsidRPr="005D324B" w:rsidRDefault="00F60E05" w:rsidP="005D324B">
            <w:pPr>
              <w:jc w:val="center"/>
              <w:rPr>
                <w:rFonts w:cs="Calibri"/>
                <w:b/>
                <w:bCs/>
                <w:color w:val="000000"/>
                <w:sz w:val="20"/>
              </w:rPr>
            </w:pPr>
          </w:p>
        </w:tc>
        <w:tc>
          <w:tcPr>
            <w:tcW w:w="1000" w:type="dxa"/>
            <w:gridSpan w:val="2"/>
            <w:tcBorders>
              <w:top w:val="nil"/>
              <w:left w:val="nil"/>
              <w:bottom w:val="single" w:sz="4" w:space="0" w:color="auto"/>
              <w:right w:val="nil"/>
            </w:tcBorders>
            <w:shd w:val="clear" w:color="000000" w:fill="FFFF00"/>
            <w:noWrap/>
            <w:vAlign w:val="center"/>
          </w:tcPr>
          <w:p w14:paraId="548CED73" w14:textId="77777777" w:rsidR="00F60E05" w:rsidRPr="005D324B" w:rsidRDefault="00F60E05" w:rsidP="005D324B">
            <w:pPr>
              <w:jc w:val="center"/>
              <w:rPr>
                <w:rFonts w:cs="Calibri"/>
                <w:b/>
                <w:bCs/>
                <w:color w:val="000000"/>
                <w:sz w:val="20"/>
              </w:rPr>
            </w:pPr>
          </w:p>
        </w:tc>
        <w:tc>
          <w:tcPr>
            <w:tcW w:w="1000" w:type="dxa"/>
            <w:gridSpan w:val="2"/>
            <w:tcBorders>
              <w:top w:val="nil"/>
              <w:left w:val="nil"/>
              <w:bottom w:val="single" w:sz="4" w:space="0" w:color="auto"/>
              <w:right w:val="nil"/>
            </w:tcBorders>
            <w:shd w:val="clear" w:color="000000" w:fill="FFFF00"/>
            <w:noWrap/>
            <w:vAlign w:val="center"/>
          </w:tcPr>
          <w:p w14:paraId="3D7E2999" w14:textId="77777777" w:rsidR="00F60E05" w:rsidRPr="005D324B" w:rsidRDefault="00F60E05" w:rsidP="005D324B">
            <w:pPr>
              <w:jc w:val="center"/>
              <w:rPr>
                <w:rFonts w:cs="Calibri"/>
                <w:b/>
                <w:bCs/>
                <w:color w:val="000000"/>
                <w:sz w:val="20"/>
              </w:rPr>
            </w:pPr>
          </w:p>
        </w:tc>
        <w:tc>
          <w:tcPr>
            <w:tcW w:w="927" w:type="dxa"/>
            <w:tcBorders>
              <w:top w:val="nil"/>
              <w:left w:val="nil"/>
              <w:bottom w:val="single" w:sz="4" w:space="0" w:color="auto"/>
              <w:right w:val="nil"/>
            </w:tcBorders>
            <w:shd w:val="clear" w:color="000000" w:fill="FFFF00"/>
            <w:noWrap/>
            <w:vAlign w:val="center"/>
          </w:tcPr>
          <w:p w14:paraId="2C0E9DBD" w14:textId="77777777" w:rsidR="00F60E05" w:rsidRPr="005D324B" w:rsidRDefault="00F60E05" w:rsidP="005D324B">
            <w:pPr>
              <w:jc w:val="center"/>
              <w:rPr>
                <w:rFonts w:cs="Calibri"/>
                <w:b/>
                <w:bCs/>
                <w:color w:val="000000"/>
                <w:sz w:val="20"/>
              </w:rPr>
            </w:pPr>
          </w:p>
        </w:tc>
        <w:tc>
          <w:tcPr>
            <w:tcW w:w="1022" w:type="dxa"/>
            <w:gridSpan w:val="2"/>
            <w:tcBorders>
              <w:top w:val="nil"/>
              <w:left w:val="nil"/>
              <w:bottom w:val="single" w:sz="4" w:space="0" w:color="auto"/>
              <w:right w:val="nil"/>
            </w:tcBorders>
            <w:shd w:val="clear" w:color="000000" w:fill="FFFF00"/>
            <w:noWrap/>
            <w:vAlign w:val="center"/>
          </w:tcPr>
          <w:p w14:paraId="47C61641" w14:textId="77777777" w:rsidR="00F60E05" w:rsidRPr="005D324B" w:rsidRDefault="00F60E05" w:rsidP="005D324B">
            <w:pPr>
              <w:jc w:val="center"/>
              <w:rPr>
                <w:rFonts w:cs="Calibri"/>
                <w:b/>
                <w:bCs/>
                <w:color w:val="000000"/>
                <w:sz w:val="20"/>
              </w:rPr>
            </w:pPr>
          </w:p>
        </w:tc>
      </w:tr>
    </w:tbl>
    <w:p w14:paraId="376C7E65" w14:textId="6AC97E6F" w:rsidR="0061243D" w:rsidRDefault="0061243D" w:rsidP="00645A18">
      <w:pPr>
        <w:rPr>
          <w:noProof/>
          <w14:ligatures w14:val="standardContextual"/>
        </w:rPr>
      </w:pPr>
    </w:p>
    <w:p w14:paraId="489CD9A1" w14:textId="43FBA961" w:rsidR="00691B9E" w:rsidRDefault="00691B9E" w:rsidP="00645A18">
      <w:pPr>
        <w:rPr>
          <w:noProof/>
          <w14:ligatures w14:val="standardContextual"/>
        </w:rPr>
      </w:pPr>
      <w:r>
        <w:rPr>
          <w:noProof/>
          <w14:ligatures w14:val="standardContextual"/>
        </w:rPr>
        <w:t>So</w:t>
      </w:r>
      <w:r w:rsidR="0093237B">
        <w:rPr>
          <w:noProof/>
          <w14:ligatures w14:val="standardContextual"/>
        </w:rPr>
        <w:t>u</w:t>
      </w:r>
      <w:r>
        <w:rPr>
          <w:noProof/>
          <w14:ligatures w14:val="standardContextual"/>
        </w:rPr>
        <w:t xml:space="preserve">rce: CMS Market Saturation Reports, </w:t>
      </w:r>
      <w:bookmarkStart w:id="0" w:name="_Hlk174870721"/>
      <w:r w:rsidR="002861E9">
        <w:rPr>
          <w:noProof/>
          <w14:ligatures w14:val="standardContextual"/>
        </w:rPr>
        <w:fldChar w:fldCharType="begin"/>
      </w:r>
      <w:r w:rsidR="002861E9">
        <w:rPr>
          <w:noProof/>
          <w14:ligatures w14:val="standardContextual"/>
        </w:rPr>
        <w:instrText>HYPERLINK "</w:instrText>
      </w:r>
      <w:r w:rsidR="002861E9" w:rsidRPr="002861E9">
        <w:rPr>
          <w:noProof/>
          <w14:ligatures w14:val="standardContextual"/>
        </w:rPr>
        <w:instrText>https://data.cms.gov/summary-statistics-on-use-and-payments/program-integrity-market-saturation-by-type-of-service/market-saturation-utilization-state-county</w:instrText>
      </w:r>
      <w:r w:rsidR="002861E9">
        <w:rPr>
          <w:noProof/>
          <w14:ligatures w14:val="standardContextual"/>
        </w:rPr>
        <w:instrText>"</w:instrText>
      </w:r>
      <w:r w:rsidR="002861E9">
        <w:rPr>
          <w:noProof/>
          <w14:ligatures w14:val="standardContextual"/>
        </w:rPr>
      </w:r>
      <w:r w:rsidR="002861E9">
        <w:rPr>
          <w:noProof/>
          <w14:ligatures w14:val="standardContextual"/>
        </w:rPr>
        <w:fldChar w:fldCharType="separate"/>
      </w:r>
      <w:r w:rsidR="002861E9" w:rsidRPr="00367CE2">
        <w:rPr>
          <w:rStyle w:val="Hyperlink"/>
          <w:noProof/>
          <w14:ligatures w14:val="standardContextual"/>
        </w:rPr>
        <w:t>https://data.cms.gov/summary-statistics-on-use-and-payments/program-integrity-market-saturation-by-type-of-service/market-saturation-utilization-state-county</w:t>
      </w:r>
      <w:r w:rsidR="002861E9">
        <w:rPr>
          <w:noProof/>
          <w14:ligatures w14:val="standardContextual"/>
        </w:rPr>
        <w:fldChar w:fldCharType="end"/>
      </w:r>
      <w:r w:rsidR="002861E9">
        <w:rPr>
          <w:noProof/>
          <w14:ligatures w14:val="standardContextual"/>
        </w:rPr>
        <w:t xml:space="preserve"> </w:t>
      </w:r>
    </w:p>
    <w:p w14:paraId="420BE028" w14:textId="77777777" w:rsidR="00B34AE6" w:rsidRDefault="00B34AE6" w:rsidP="00645A18">
      <w:pPr>
        <w:rPr>
          <w:noProof/>
          <w14:ligatures w14:val="standardContextual"/>
        </w:rPr>
      </w:pPr>
    </w:p>
    <w:bookmarkEnd w:id="0"/>
    <w:p w14:paraId="475C6116" w14:textId="77777777" w:rsidR="0093237B" w:rsidRDefault="0093237B" w:rsidP="00645A18">
      <w:pPr>
        <w:rPr>
          <w:noProof/>
          <w14:ligatures w14:val="standardContextual"/>
        </w:rPr>
      </w:pPr>
    </w:p>
    <w:p w14:paraId="1DF4175F" w14:textId="2592B102" w:rsidR="00B64E26" w:rsidRDefault="00B34AE6" w:rsidP="00645A18">
      <w:pPr>
        <w:rPr>
          <w:noProof/>
          <w14:ligatures w14:val="standardContextual"/>
        </w:rPr>
      </w:pPr>
      <w:r>
        <w:rPr>
          <w:noProof/>
          <w14:ligatures w14:val="standardContextual"/>
        </w:rPr>
        <w:t>The Alliance</w:t>
      </w:r>
      <w:r w:rsidR="008534AE">
        <w:rPr>
          <w:noProof/>
          <w14:ligatures w14:val="standardContextual"/>
        </w:rPr>
        <w:t xml:space="preserve"> also</w:t>
      </w:r>
      <w:r>
        <w:rPr>
          <w:noProof/>
          <w14:ligatures w14:val="standardContextual"/>
        </w:rPr>
        <w:t xml:space="preserve"> considers the CMS Market Saturation Reports a superior data source</w:t>
      </w:r>
      <w:r w:rsidR="008534AE">
        <w:rPr>
          <w:noProof/>
          <w14:ligatures w14:val="standardContextual"/>
        </w:rPr>
        <w:t xml:space="preserve"> on access to HHAs</w:t>
      </w:r>
      <w:r w:rsidR="001577A3">
        <w:rPr>
          <w:noProof/>
          <w14:ligatures w14:val="standardContextual"/>
        </w:rPr>
        <w:t xml:space="preserve"> to that displayed by MedPAC as it relies on robust claims data analyzed by CMS itself. </w:t>
      </w:r>
      <w:r w:rsidR="00B66603">
        <w:rPr>
          <w:noProof/>
          <w14:ligatures w14:val="standardContextual"/>
        </w:rPr>
        <w:t xml:space="preserve">Nevertheless, even the MedPAC analyses in 2023 and 2024 depict a continuiing decline in available HHAs. </w:t>
      </w:r>
      <w:r w:rsidR="002B44DC">
        <w:rPr>
          <w:noProof/>
          <w14:ligatures w14:val="standardContextual"/>
        </w:rPr>
        <w:t>Such a finding supports the concerns voiced by the Alliance</w:t>
      </w:r>
      <w:r w:rsidR="00C0258D">
        <w:rPr>
          <w:noProof/>
          <w14:ligatures w14:val="standardContextual"/>
        </w:rPr>
        <w:t xml:space="preserve"> over the past PDGM yearsthat the access to care </w:t>
      </w:r>
      <w:r w:rsidR="00943931">
        <w:rPr>
          <w:noProof/>
          <w14:ligatures w14:val="standardContextual"/>
        </w:rPr>
        <w:t>has been materially diminished and is facing an ongoing</w:t>
      </w:r>
      <w:r w:rsidR="00C0258D">
        <w:rPr>
          <w:noProof/>
          <w14:ligatures w14:val="standardContextual"/>
        </w:rPr>
        <w:t xml:space="preserve"> threat</w:t>
      </w:r>
      <w:r w:rsidR="00943931">
        <w:rPr>
          <w:noProof/>
          <w14:ligatures w14:val="standardContextual"/>
        </w:rPr>
        <w:t xml:space="preserve"> to a complete loss in some parts of the country due to the continuing PDGM rate cuts</w:t>
      </w:r>
      <w:r w:rsidR="0093237B">
        <w:rPr>
          <w:noProof/>
          <w14:ligatures w14:val="standardContextual"/>
        </w:rPr>
        <w:t xml:space="preserve"> based on the flawed budget neutrality assessment methodology applied by CMS.</w:t>
      </w:r>
    </w:p>
    <w:p w14:paraId="579AAC1F" w14:textId="77777777" w:rsidR="00B64E26" w:rsidRDefault="00B64E26" w:rsidP="00645A18">
      <w:pPr>
        <w:rPr>
          <w:noProof/>
          <w14:ligatures w14:val="standardContextual"/>
        </w:rPr>
      </w:pPr>
    </w:p>
    <w:p w14:paraId="1CC3F0CB" w14:textId="77777777" w:rsidR="008534AE" w:rsidRDefault="008534AE" w:rsidP="00645A18">
      <w:pPr>
        <w:rPr>
          <w:b/>
          <w:bCs/>
          <w:noProof/>
          <w14:ligatures w14:val="standardContextual"/>
        </w:rPr>
      </w:pPr>
    </w:p>
    <w:p w14:paraId="5A3AE7D5" w14:textId="3DA92381" w:rsidR="0061243D" w:rsidRDefault="00945D01" w:rsidP="00645A18">
      <w:pPr>
        <w:rPr>
          <w:noProof/>
          <w14:ligatures w14:val="standardContextual"/>
        </w:rPr>
      </w:pPr>
      <w:r w:rsidRPr="0093237B">
        <w:rPr>
          <w:b/>
          <w:bCs/>
          <w:noProof/>
          <w14:ligatures w14:val="standardContextual"/>
        </w:rPr>
        <w:t>MedPAC March 2023 Report to Congress</w:t>
      </w:r>
    </w:p>
    <w:p w14:paraId="7105B801" w14:textId="20DCB2D8" w:rsidR="00645A18" w:rsidRDefault="006E2E75" w:rsidP="00645A18">
      <w:pPr>
        <w:rPr>
          <w:noProof/>
          <w14:ligatures w14:val="standardContextual"/>
        </w:rPr>
      </w:pPr>
      <w:r>
        <w:rPr>
          <w:noProof/>
          <w14:ligatures w14:val="standardContextual"/>
        </w:rPr>
        <w:drawing>
          <wp:inline distT="0" distB="0" distL="0" distR="0" wp14:anchorId="6BD9251F" wp14:editId="4A80B98A">
            <wp:extent cx="5943600" cy="2185670"/>
            <wp:effectExtent l="0" t="0" r="0" b="5080"/>
            <wp:docPr id="338945344"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45344" name="Picture 1" descr="A screenshot of a report&#10;&#10;Description automatically generated"/>
                    <pic:cNvPicPr/>
                  </pic:nvPicPr>
                  <pic:blipFill>
                    <a:blip r:embed="rId16"/>
                    <a:stretch>
                      <a:fillRect/>
                    </a:stretch>
                  </pic:blipFill>
                  <pic:spPr>
                    <a:xfrm>
                      <a:off x="0" y="0"/>
                      <a:ext cx="5943600" cy="2185670"/>
                    </a:xfrm>
                    <a:prstGeom prst="rect">
                      <a:avLst/>
                    </a:prstGeom>
                  </pic:spPr>
                </pic:pic>
              </a:graphicData>
            </a:graphic>
          </wp:inline>
        </w:drawing>
      </w:r>
    </w:p>
    <w:p w14:paraId="45E803FB" w14:textId="77777777" w:rsidR="006E2E75" w:rsidRDefault="006E2E75" w:rsidP="00645A18">
      <w:pPr>
        <w:rPr>
          <w:rFonts w:ascii="Times New Roman" w:hAnsi="Times New Roman"/>
        </w:rPr>
      </w:pPr>
    </w:p>
    <w:p w14:paraId="5DA70CCB" w14:textId="03EFB69C" w:rsidR="008109F4" w:rsidRDefault="00945D01" w:rsidP="00645A18">
      <w:pPr>
        <w:rPr>
          <w:rFonts w:ascii="Times New Roman" w:hAnsi="Times New Roman"/>
        </w:rPr>
      </w:pPr>
      <w:r w:rsidRPr="0093237B">
        <w:rPr>
          <w:b/>
          <w:bCs/>
          <w:noProof/>
          <w14:ligatures w14:val="standardContextual"/>
        </w:rPr>
        <w:t>MedPAC March 2024 Report to Congress</w:t>
      </w:r>
      <w:r w:rsidR="008109F4">
        <w:rPr>
          <w:noProof/>
          <w14:ligatures w14:val="standardContextual"/>
        </w:rPr>
        <w:drawing>
          <wp:inline distT="0" distB="0" distL="0" distR="0" wp14:anchorId="49ADC5BF" wp14:editId="61C6B57A">
            <wp:extent cx="5943600" cy="2539365"/>
            <wp:effectExtent l="0" t="0" r="0" b="0"/>
            <wp:docPr id="97119813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98132" name="Picture 1" descr="A screenshot of a document&#10;&#10;Description automatically generated"/>
                    <pic:cNvPicPr/>
                  </pic:nvPicPr>
                  <pic:blipFill>
                    <a:blip r:embed="rId17"/>
                    <a:stretch>
                      <a:fillRect/>
                    </a:stretch>
                  </pic:blipFill>
                  <pic:spPr>
                    <a:xfrm>
                      <a:off x="0" y="0"/>
                      <a:ext cx="5943600" cy="2539365"/>
                    </a:xfrm>
                    <a:prstGeom prst="rect">
                      <a:avLst/>
                    </a:prstGeom>
                  </pic:spPr>
                </pic:pic>
              </a:graphicData>
            </a:graphic>
          </wp:inline>
        </w:drawing>
      </w:r>
    </w:p>
    <w:p w14:paraId="397C225E" w14:textId="77777777" w:rsidR="008109F4" w:rsidRDefault="008109F4" w:rsidP="00645A18">
      <w:pPr>
        <w:rPr>
          <w:rFonts w:ascii="Times New Roman" w:hAnsi="Times New Roman"/>
        </w:rPr>
      </w:pPr>
    </w:p>
    <w:p w14:paraId="6D4ECB5E" w14:textId="0427830E" w:rsidR="003568EA" w:rsidRDefault="00645A18" w:rsidP="00645A18">
      <w:pPr>
        <w:rPr>
          <w:rFonts w:ascii="Times New Roman" w:hAnsi="Times New Roman"/>
        </w:rPr>
      </w:pPr>
      <w:r>
        <w:rPr>
          <w:rFonts w:ascii="Times New Roman" w:hAnsi="Times New Roman"/>
        </w:rPr>
        <w:t>Source</w:t>
      </w:r>
      <w:r w:rsidR="00DB75A0">
        <w:rPr>
          <w:rFonts w:ascii="Times New Roman" w:hAnsi="Times New Roman"/>
        </w:rPr>
        <w:t>s</w:t>
      </w:r>
      <w:r>
        <w:rPr>
          <w:rFonts w:ascii="Times New Roman" w:hAnsi="Times New Roman"/>
        </w:rPr>
        <w:t xml:space="preserve">: </w:t>
      </w:r>
      <w:r w:rsidR="00183FC3">
        <w:rPr>
          <w:rFonts w:ascii="Times New Roman" w:hAnsi="Times New Roman"/>
        </w:rPr>
        <w:t>March 2023 Report to the Congress</w:t>
      </w:r>
      <w:r w:rsidR="00030228">
        <w:rPr>
          <w:rFonts w:ascii="Times New Roman" w:hAnsi="Times New Roman"/>
        </w:rPr>
        <w:t>: Medicare Payment Policy. Medicare Payment Advisory Commission, Chapter 8, Page</w:t>
      </w:r>
      <w:r w:rsidR="0019783E">
        <w:rPr>
          <w:rFonts w:ascii="Times New Roman" w:hAnsi="Times New Roman"/>
        </w:rPr>
        <w:t>s</w:t>
      </w:r>
      <w:r w:rsidR="00A060E1">
        <w:rPr>
          <w:rFonts w:ascii="Times New Roman" w:hAnsi="Times New Roman"/>
        </w:rPr>
        <w:t xml:space="preserve"> </w:t>
      </w:r>
      <w:r w:rsidR="0050491A">
        <w:rPr>
          <w:rFonts w:ascii="Times New Roman" w:hAnsi="Times New Roman"/>
        </w:rPr>
        <w:t xml:space="preserve">242, </w:t>
      </w:r>
      <w:r w:rsidR="00C36B15">
        <w:rPr>
          <w:rFonts w:ascii="Times New Roman" w:hAnsi="Times New Roman"/>
        </w:rPr>
        <w:t>243</w:t>
      </w:r>
      <w:r w:rsidR="003568EA">
        <w:rPr>
          <w:rFonts w:ascii="Times New Roman" w:hAnsi="Times New Roman"/>
        </w:rPr>
        <w:t>, 245</w:t>
      </w:r>
      <w:r w:rsidR="00CE6883">
        <w:rPr>
          <w:rFonts w:ascii="Times New Roman" w:hAnsi="Times New Roman"/>
        </w:rPr>
        <w:t xml:space="preserve">. </w:t>
      </w:r>
      <w:hyperlink r:id="rId18" w:history="1">
        <w:r w:rsidR="00030228" w:rsidRPr="006405D4">
          <w:rPr>
            <w:rStyle w:val="Hyperlink"/>
            <w:rFonts w:ascii="Times New Roman" w:hAnsi="Times New Roman"/>
          </w:rPr>
          <w:t>https://www.medpac.gov/document/march-2023-report-to-the-congress-medicare-payment-policy/</w:t>
        </w:r>
      </w:hyperlink>
      <w:r w:rsidR="00030228">
        <w:rPr>
          <w:rFonts w:ascii="Times New Roman" w:hAnsi="Times New Roman"/>
        </w:rPr>
        <w:t xml:space="preserve"> </w:t>
      </w:r>
    </w:p>
    <w:p w14:paraId="2F148432" w14:textId="098FFF31" w:rsidR="006A0464" w:rsidRDefault="006A0464" w:rsidP="00DB75A0">
      <w:pPr>
        <w:ind w:firstLine="720"/>
        <w:rPr>
          <w:rFonts w:ascii="Times New Roman" w:hAnsi="Times New Roman"/>
        </w:rPr>
      </w:pPr>
      <w:r>
        <w:rPr>
          <w:rFonts w:ascii="Times New Roman" w:hAnsi="Times New Roman"/>
        </w:rPr>
        <w:t>March 2024 Report to Congress</w:t>
      </w:r>
      <w:r w:rsidR="00E66F53">
        <w:rPr>
          <w:rFonts w:ascii="Times New Roman" w:hAnsi="Times New Roman"/>
        </w:rPr>
        <w:t>: Medicare Payment Policy. Medicare Payment Advisory Commission, Chapter</w:t>
      </w:r>
      <w:r w:rsidR="0019783E">
        <w:rPr>
          <w:rFonts w:ascii="Times New Roman" w:hAnsi="Times New Roman"/>
        </w:rPr>
        <w:t xml:space="preserve"> 7, Pages </w:t>
      </w:r>
      <w:r w:rsidR="00DF71EE">
        <w:rPr>
          <w:rFonts w:ascii="Times New Roman" w:hAnsi="Times New Roman"/>
        </w:rPr>
        <w:t xml:space="preserve">206-211. </w:t>
      </w:r>
      <w:hyperlink r:id="rId19" w:history="1">
        <w:r w:rsidR="00DB75A0" w:rsidRPr="00FB4C59">
          <w:rPr>
            <w:rStyle w:val="Hyperlink"/>
            <w:rFonts w:ascii="Times New Roman" w:hAnsi="Times New Roman"/>
          </w:rPr>
          <w:t>https://www.medpac.gov/document/march-2024-report-to-the-congress-medicare-payment-policy/</w:t>
        </w:r>
      </w:hyperlink>
      <w:r w:rsidR="00DB75A0">
        <w:rPr>
          <w:rFonts w:ascii="Times New Roman" w:hAnsi="Times New Roman"/>
        </w:rPr>
        <w:t xml:space="preserve"> </w:t>
      </w:r>
    </w:p>
    <w:p w14:paraId="69FDB161" w14:textId="77777777" w:rsidR="003568EA" w:rsidRDefault="003568EA" w:rsidP="00645A18">
      <w:pPr>
        <w:rPr>
          <w:rFonts w:ascii="Times New Roman" w:hAnsi="Times New Roman"/>
        </w:rPr>
      </w:pPr>
    </w:p>
    <w:p w14:paraId="017A4017" w14:textId="77777777" w:rsidR="00530511" w:rsidRDefault="00530511" w:rsidP="00AB1332">
      <w:pPr>
        <w:ind w:firstLine="720"/>
        <w:rPr>
          <w:rFonts w:ascii="Times New Roman" w:hAnsi="Times New Roman"/>
        </w:rPr>
      </w:pPr>
    </w:p>
    <w:p w14:paraId="7FCA394A" w14:textId="77777777" w:rsidR="00530511" w:rsidRDefault="00530511" w:rsidP="00AB1332">
      <w:pPr>
        <w:ind w:firstLine="720"/>
        <w:rPr>
          <w:rFonts w:ascii="Times New Roman" w:hAnsi="Times New Roman"/>
        </w:rPr>
      </w:pPr>
    </w:p>
    <w:p w14:paraId="1FFCDCC5" w14:textId="3AFFB827" w:rsidR="00645A18" w:rsidRDefault="00986371" w:rsidP="00AB1332">
      <w:pPr>
        <w:ind w:firstLine="720"/>
        <w:rPr>
          <w:rFonts w:ascii="Times New Roman" w:hAnsi="Times New Roman"/>
        </w:rPr>
      </w:pPr>
      <w:r>
        <w:rPr>
          <w:rFonts w:ascii="Times New Roman" w:hAnsi="Times New Roman"/>
        </w:rPr>
        <w:t>MedPAC’s mischaracterization of the data trends</w:t>
      </w:r>
      <w:r w:rsidR="008E3060">
        <w:rPr>
          <w:rFonts w:ascii="Times New Roman" w:hAnsi="Times New Roman"/>
        </w:rPr>
        <w:t xml:space="preserve"> as sufficient access to care</w:t>
      </w:r>
      <w:r>
        <w:rPr>
          <w:rFonts w:ascii="Times New Roman" w:hAnsi="Times New Roman"/>
        </w:rPr>
        <w:t xml:space="preserve"> </w:t>
      </w:r>
      <w:r w:rsidR="00511C44">
        <w:rPr>
          <w:rFonts w:ascii="Times New Roman" w:hAnsi="Times New Roman"/>
        </w:rPr>
        <w:t xml:space="preserve">should be given no weight as the numbers speak for themselves—care utilization is significantly down, </w:t>
      </w:r>
      <w:r w:rsidR="00671709">
        <w:rPr>
          <w:rFonts w:ascii="Times New Roman" w:hAnsi="Times New Roman"/>
        </w:rPr>
        <w:t xml:space="preserve">less care is provided today than in prior years, and there are fewer HHA choices for beneficiaries. </w:t>
      </w:r>
      <w:r w:rsidR="003568EA">
        <w:rPr>
          <w:rFonts w:ascii="Times New Roman" w:hAnsi="Times New Roman"/>
        </w:rPr>
        <w:t xml:space="preserve">While full data is not yet available, there are clear indications that the reduction in patients using home health services </w:t>
      </w:r>
      <w:r w:rsidR="00377C3E">
        <w:rPr>
          <w:rFonts w:ascii="Times New Roman" w:hAnsi="Times New Roman"/>
        </w:rPr>
        <w:t>and the volume of in</w:t>
      </w:r>
      <w:r w:rsidR="00A44E3E">
        <w:rPr>
          <w:rFonts w:ascii="Times New Roman" w:hAnsi="Times New Roman"/>
        </w:rPr>
        <w:t>-</w:t>
      </w:r>
      <w:r w:rsidR="00377C3E">
        <w:rPr>
          <w:rFonts w:ascii="Times New Roman" w:hAnsi="Times New Roman"/>
        </w:rPr>
        <w:t xml:space="preserve">person visits </w:t>
      </w:r>
      <w:r w:rsidR="00735D44">
        <w:rPr>
          <w:rFonts w:ascii="Times New Roman" w:hAnsi="Times New Roman"/>
        </w:rPr>
        <w:t>continue</w:t>
      </w:r>
      <w:r w:rsidR="003568EA">
        <w:rPr>
          <w:rFonts w:ascii="Times New Roman" w:hAnsi="Times New Roman"/>
        </w:rPr>
        <w:t xml:space="preserve"> to decline</w:t>
      </w:r>
      <w:r w:rsidR="00377C3E">
        <w:rPr>
          <w:rFonts w:ascii="Times New Roman" w:hAnsi="Times New Roman"/>
        </w:rPr>
        <w:t xml:space="preserve"> post</w:t>
      </w:r>
      <w:r w:rsidR="00A44E3E">
        <w:rPr>
          <w:rFonts w:ascii="Times New Roman" w:hAnsi="Times New Roman"/>
        </w:rPr>
        <w:t>-</w:t>
      </w:r>
      <w:r w:rsidR="00377C3E">
        <w:rPr>
          <w:rFonts w:ascii="Times New Roman" w:hAnsi="Times New Roman"/>
        </w:rPr>
        <w:t>2021 along with the number of active HHAs</w:t>
      </w:r>
      <w:r w:rsidR="00F84033">
        <w:rPr>
          <w:rFonts w:ascii="Times New Roman" w:hAnsi="Times New Roman"/>
        </w:rPr>
        <w:t xml:space="preserve">. </w:t>
      </w:r>
    </w:p>
    <w:p w14:paraId="32CB033C" w14:textId="77777777" w:rsidR="00AC4600" w:rsidRDefault="00AC4600" w:rsidP="00645A18">
      <w:pPr>
        <w:rPr>
          <w:rFonts w:ascii="Times New Roman" w:hAnsi="Times New Roman"/>
        </w:rPr>
      </w:pPr>
    </w:p>
    <w:p w14:paraId="73937B1B" w14:textId="3F70F854" w:rsidR="00A22DA6" w:rsidRDefault="00420DFE" w:rsidP="00AB1332">
      <w:pPr>
        <w:ind w:firstLine="720"/>
        <w:rPr>
          <w:rFonts w:ascii="Times New Roman" w:hAnsi="Times New Roman"/>
        </w:rPr>
      </w:pPr>
      <w:r>
        <w:rPr>
          <w:rFonts w:ascii="Times New Roman" w:hAnsi="Times New Roman"/>
        </w:rPr>
        <w:lastRenderedPageBreak/>
        <w:t xml:space="preserve">Further indications of the fragility of the financial status of HHAs </w:t>
      </w:r>
      <w:r w:rsidR="00735D44">
        <w:rPr>
          <w:rFonts w:ascii="Times New Roman" w:hAnsi="Times New Roman"/>
        </w:rPr>
        <w:t>are</w:t>
      </w:r>
      <w:r>
        <w:rPr>
          <w:rFonts w:ascii="Times New Roman" w:hAnsi="Times New Roman"/>
        </w:rPr>
        <w:t xml:space="preserve"> found in cost report data</w:t>
      </w:r>
      <w:r w:rsidR="006D61F7">
        <w:rPr>
          <w:rFonts w:ascii="Times New Roman" w:hAnsi="Times New Roman"/>
        </w:rPr>
        <w:t xml:space="preserve"> from calendar year 2022. </w:t>
      </w:r>
      <w:r w:rsidR="00D90D62">
        <w:rPr>
          <w:rFonts w:ascii="Times New Roman" w:hAnsi="Times New Roman"/>
        </w:rPr>
        <w:t>T</w:t>
      </w:r>
      <w:r w:rsidR="0039701D">
        <w:rPr>
          <w:rFonts w:ascii="Times New Roman" w:hAnsi="Times New Roman"/>
        </w:rPr>
        <w:t>he</w:t>
      </w:r>
      <w:r w:rsidR="00D90D62">
        <w:rPr>
          <w:rFonts w:ascii="Times New Roman" w:hAnsi="Times New Roman"/>
        </w:rPr>
        <w:t xml:space="preserve"> ALLIANCE</w:t>
      </w:r>
      <w:r w:rsidR="006D61F7">
        <w:rPr>
          <w:rFonts w:ascii="Times New Roman" w:hAnsi="Times New Roman"/>
        </w:rPr>
        <w:t xml:space="preserve"> analyzed cost reports for all HHAs with a fiscal year end</w:t>
      </w:r>
      <w:r w:rsidR="00D2337E">
        <w:rPr>
          <w:rFonts w:ascii="Times New Roman" w:hAnsi="Times New Roman"/>
        </w:rPr>
        <w:t xml:space="preserve"> of 12/31/22 </w:t>
      </w:r>
      <w:r w:rsidR="00DE260E">
        <w:rPr>
          <w:rFonts w:ascii="Times New Roman" w:hAnsi="Times New Roman"/>
        </w:rPr>
        <w:t>to</w:t>
      </w:r>
      <w:r w:rsidR="00D2337E">
        <w:rPr>
          <w:rFonts w:ascii="Times New Roman" w:hAnsi="Times New Roman"/>
        </w:rPr>
        <w:t xml:space="preserve"> evaluate the impact of CY2022 payment rates, cost inflation, service changes, and other factors related to 2022 </w:t>
      </w:r>
      <w:r w:rsidR="00EE161A">
        <w:rPr>
          <w:rFonts w:ascii="Times New Roman" w:hAnsi="Times New Roman"/>
        </w:rPr>
        <w:t xml:space="preserve">influences and behavior in a consistent manner. The </w:t>
      </w:r>
      <w:r w:rsidR="00D90D62">
        <w:rPr>
          <w:rFonts w:ascii="Times New Roman" w:hAnsi="Times New Roman"/>
        </w:rPr>
        <w:t>ALLIANCE</w:t>
      </w:r>
      <w:r w:rsidR="00EE161A">
        <w:rPr>
          <w:rFonts w:ascii="Times New Roman" w:hAnsi="Times New Roman"/>
        </w:rPr>
        <w:t xml:space="preserve"> methodology trimmed out reports with </w:t>
      </w:r>
      <w:r w:rsidR="00B56D12">
        <w:rPr>
          <w:rFonts w:ascii="Times New Roman" w:hAnsi="Times New Roman"/>
        </w:rPr>
        <w:t xml:space="preserve">no data on revenue and/or costs along with </w:t>
      </w:r>
      <w:r w:rsidR="00A955B0">
        <w:rPr>
          <w:rFonts w:ascii="Times New Roman" w:hAnsi="Times New Roman"/>
        </w:rPr>
        <w:t>an</w:t>
      </w:r>
      <w:r w:rsidR="00B56D12">
        <w:rPr>
          <w:rFonts w:ascii="Times New Roman" w:hAnsi="Times New Roman"/>
        </w:rPr>
        <w:t xml:space="preserve"> application of </w:t>
      </w:r>
      <w:r w:rsidR="00A955B0">
        <w:rPr>
          <w:rFonts w:ascii="Times New Roman" w:hAnsi="Times New Roman"/>
        </w:rPr>
        <w:t>the common</w:t>
      </w:r>
      <w:r w:rsidR="00B56D12">
        <w:rPr>
          <w:rFonts w:ascii="Times New Roman" w:hAnsi="Times New Roman"/>
        </w:rPr>
        <w:t xml:space="preserve"> 90/10 natural log trim. </w:t>
      </w:r>
      <w:r w:rsidR="00D90D62">
        <w:rPr>
          <w:rFonts w:ascii="Times New Roman" w:hAnsi="Times New Roman"/>
        </w:rPr>
        <w:t>T</w:t>
      </w:r>
      <w:r w:rsidR="00721F00">
        <w:rPr>
          <w:rFonts w:ascii="Times New Roman" w:hAnsi="Times New Roman"/>
        </w:rPr>
        <w:t>he</w:t>
      </w:r>
      <w:r w:rsidR="00D90D62">
        <w:rPr>
          <w:rFonts w:ascii="Times New Roman" w:hAnsi="Times New Roman"/>
        </w:rPr>
        <w:t xml:space="preserve"> ALLIANCE</w:t>
      </w:r>
      <w:r w:rsidR="00051D84">
        <w:rPr>
          <w:rFonts w:ascii="Times New Roman" w:hAnsi="Times New Roman"/>
        </w:rPr>
        <w:t xml:space="preserve"> evaluated both “Medicare margins</w:t>
      </w:r>
      <w:r w:rsidR="00292F32">
        <w:rPr>
          <w:rFonts w:ascii="Times New Roman" w:hAnsi="Times New Roman"/>
        </w:rPr>
        <w:t>” (the difference between report</w:t>
      </w:r>
      <w:r w:rsidR="00873672">
        <w:rPr>
          <w:rFonts w:ascii="Times New Roman" w:hAnsi="Times New Roman"/>
        </w:rPr>
        <w:t>ed</w:t>
      </w:r>
      <w:r w:rsidR="00292F32">
        <w:rPr>
          <w:rFonts w:ascii="Times New Roman" w:hAnsi="Times New Roman"/>
        </w:rPr>
        <w:t xml:space="preserve"> fee-for-service Medicare revenue and reported </w:t>
      </w:r>
      <w:r w:rsidR="00964296">
        <w:rPr>
          <w:rFonts w:ascii="Times New Roman" w:hAnsi="Times New Roman"/>
        </w:rPr>
        <w:t>fee-for-service Medicare costs) as well as “Overall Margins” (</w:t>
      </w:r>
      <w:r w:rsidR="00A22DA6">
        <w:rPr>
          <w:rFonts w:ascii="Times New Roman" w:hAnsi="Times New Roman"/>
        </w:rPr>
        <w:t xml:space="preserve">total home health revenue compared to total home health costs). </w:t>
      </w:r>
    </w:p>
    <w:p w14:paraId="2F32BFC3" w14:textId="77777777" w:rsidR="00873672" w:rsidRDefault="00873672" w:rsidP="00AB1332">
      <w:pPr>
        <w:ind w:firstLine="720"/>
        <w:rPr>
          <w:rFonts w:ascii="Times New Roman" w:hAnsi="Times New Roman"/>
        </w:rPr>
      </w:pPr>
    </w:p>
    <w:p w14:paraId="0C20B2C2" w14:textId="278F95FF" w:rsidR="0027509D" w:rsidRDefault="00D90D62" w:rsidP="00645A18">
      <w:pPr>
        <w:rPr>
          <w:rFonts w:ascii="Times New Roman" w:hAnsi="Times New Roman"/>
        </w:rPr>
      </w:pPr>
      <w:r>
        <w:rPr>
          <w:rFonts w:ascii="Times New Roman" w:hAnsi="Times New Roman"/>
        </w:rPr>
        <w:t>T</w:t>
      </w:r>
      <w:r w:rsidR="0039701D">
        <w:rPr>
          <w:rFonts w:ascii="Times New Roman" w:hAnsi="Times New Roman"/>
        </w:rPr>
        <w:t>he</w:t>
      </w:r>
      <w:r>
        <w:rPr>
          <w:rFonts w:ascii="Times New Roman" w:hAnsi="Times New Roman"/>
        </w:rPr>
        <w:t xml:space="preserve"> ALLIANCE</w:t>
      </w:r>
      <w:r w:rsidR="00A22DA6">
        <w:rPr>
          <w:rFonts w:ascii="Times New Roman" w:hAnsi="Times New Roman"/>
        </w:rPr>
        <w:t xml:space="preserve"> notes the following regarding the cost report data analysis</w:t>
      </w:r>
      <w:r w:rsidR="0027509D">
        <w:rPr>
          <w:rFonts w:ascii="Times New Roman" w:hAnsi="Times New Roman"/>
        </w:rPr>
        <w:t>:</w:t>
      </w:r>
    </w:p>
    <w:p w14:paraId="5077115F" w14:textId="77777777" w:rsidR="0069644B" w:rsidRDefault="0069644B" w:rsidP="00645A18">
      <w:pPr>
        <w:rPr>
          <w:rFonts w:ascii="Times New Roman" w:hAnsi="Times New Roman"/>
        </w:rPr>
      </w:pPr>
    </w:p>
    <w:p w14:paraId="499B823E" w14:textId="05C491D3" w:rsidR="00A52AB9" w:rsidRDefault="00A52AB9" w:rsidP="0027509D">
      <w:pPr>
        <w:pStyle w:val="ListParagraph"/>
        <w:numPr>
          <w:ilvl w:val="0"/>
          <w:numId w:val="1"/>
        </w:numPr>
        <w:rPr>
          <w:rFonts w:ascii="Times New Roman" w:hAnsi="Times New Roman"/>
        </w:rPr>
      </w:pPr>
      <w:r>
        <w:rPr>
          <w:rFonts w:ascii="Times New Roman" w:hAnsi="Times New Roman"/>
        </w:rPr>
        <w:t xml:space="preserve">Cost report data came from </w:t>
      </w:r>
      <w:r w:rsidR="003F2863">
        <w:rPr>
          <w:rFonts w:ascii="Times New Roman" w:hAnsi="Times New Roman"/>
        </w:rPr>
        <w:t>CMS</w:t>
      </w:r>
      <w:r w:rsidR="00315493">
        <w:rPr>
          <w:rFonts w:ascii="Times New Roman" w:hAnsi="Times New Roman"/>
        </w:rPr>
        <w:t xml:space="preserve"> at </w:t>
      </w:r>
      <w:r w:rsidR="005954FD">
        <w:rPr>
          <w:rFonts w:ascii="Times New Roman" w:hAnsi="Times New Roman"/>
        </w:rPr>
        <w:t xml:space="preserve"> </w:t>
      </w:r>
      <w:bookmarkStart w:id="1" w:name="_Hlk143856834"/>
      <w:r w:rsidR="00315493">
        <w:rPr>
          <w:rFonts w:ascii="Times New Roman" w:hAnsi="Times New Roman"/>
        </w:rPr>
        <w:fldChar w:fldCharType="begin"/>
      </w:r>
      <w:r w:rsidR="00315493">
        <w:rPr>
          <w:rFonts w:ascii="Times New Roman" w:hAnsi="Times New Roman"/>
        </w:rPr>
        <w:instrText>HYPERLINK "</w:instrText>
      </w:r>
      <w:r w:rsidR="00315493" w:rsidRPr="00315493">
        <w:rPr>
          <w:rFonts w:ascii="Times New Roman" w:hAnsi="Times New Roman"/>
        </w:rPr>
        <w:instrText>https://www.cms.gov/research-statistics-data-and-systems/downloadable-public-use-files/cost-reports/cost-reports-by-fiscal-year</w:instrText>
      </w:r>
      <w:r w:rsidR="00315493">
        <w:rPr>
          <w:rFonts w:ascii="Times New Roman" w:hAnsi="Times New Roman"/>
        </w:rPr>
        <w:instrText>"</w:instrText>
      </w:r>
      <w:r w:rsidR="00315493">
        <w:rPr>
          <w:rFonts w:ascii="Times New Roman" w:hAnsi="Times New Roman"/>
        </w:rPr>
      </w:r>
      <w:r w:rsidR="00315493">
        <w:rPr>
          <w:rFonts w:ascii="Times New Roman" w:hAnsi="Times New Roman"/>
        </w:rPr>
        <w:fldChar w:fldCharType="separate"/>
      </w:r>
      <w:r w:rsidR="00315493" w:rsidRPr="006405D4">
        <w:rPr>
          <w:rStyle w:val="Hyperlink"/>
          <w:rFonts w:ascii="Times New Roman" w:hAnsi="Times New Roman"/>
        </w:rPr>
        <w:t>https://www.cms.gov/research-statistics-data-and-systems/downloadable-public-use-files/cost-reports/cost-reports-by-fiscal-year</w:t>
      </w:r>
      <w:r w:rsidR="00315493">
        <w:rPr>
          <w:rFonts w:ascii="Times New Roman" w:hAnsi="Times New Roman"/>
        </w:rPr>
        <w:fldChar w:fldCharType="end"/>
      </w:r>
      <w:r w:rsidR="00315493">
        <w:rPr>
          <w:rFonts w:ascii="Times New Roman" w:hAnsi="Times New Roman"/>
        </w:rPr>
        <w:t xml:space="preserve"> </w:t>
      </w:r>
      <w:bookmarkEnd w:id="1"/>
    </w:p>
    <w:p w14:paraId="1AA68645" w14:textId="5FD9A279" w:rsidR="00557B5C" w:rsidRDefault="00557B5C" w:rsidP="0027509D">
      <w:pPr>
        <w:pStyle w:val="ListParagraph"/>
        <w:numPr>
          <w:ilvl w:val="0"/>
          <w:numId w:val="1"/>
        </w:numPr>
        <w:rPr>
          <w:rFonts w:ascii="Times New Roman" w:hAnsi="Times New Roman"/>
        </w:rPr>
      </w:pPr>
      <w:r>
        <w:rPr>
          <w:rFonts w:ascii="Times New Roman" w:hAnsi="Times New Roman"/>
        </w:rPr>
        <w:t>Cost reports used were limited to those with 12/31/22 fiscal year ends</w:t>
      </w:r>
      <w:r w:rsidR="00057EB0">
        <w:rPr>
          <w:rFonts w:ascii="Times New Roman" w:hAnsi="Times New Roman"/>
        </w:rPr>
        <w:t xml:space="preserve">. An estimated </w:t>
      </w:r>
      <w:r w:rsidR="001967B1">
        <w:rPr>
          <w:rFonts w:ascii="Times New Roman" w:hAnsi="Times New Roman"/>
        </w:rPr>
        <w:t>30% of HHAs use alternative fiscal ye</w:t>
      </w:r>
      <w:r w:rsidR="00A52AB9">
        <w:rPr>
          <w:rFonts w:ascii="Times New Roman" w:hAnsi="Times New Roman"/>
        </w:rPr>
        <w:t>a</w:t>
      </w:r>
      <w:r w:rsidR="001967B1">
        <w:rPr>
          <w:rFonts w:ascii="Times New Roman" w:hAnsi="Times New Roman"/>
        </w:rPr>
        <w:t>rs</w:t>
      </w:r>
      <w:r w:rsidR="009277DE">
        <w:rPr>
          <w:rFonts w:ascii="Times New Roman" w:hAnsi="Times New Roman"/>
        </w:rPr>
        <w:t>.</w:t>
      </w:r>
    </w:p>
    <w:p w14:paraId="7341062C" w14:textId="4C59588A" w:rsidR="0027509D" w:rsidRDefault="0027509D" w:rsidP="0027509D">
      <w:pPr>
        <w:pStyle w:val="ListParagraph"/>
        <w:numPr>
          <w:ilvl w:val="0"/>
          <w:numId w:val="1"/>
        </w:numPr>
        <w:rPr>
          <w:rFonts w:ascii="Times New Roman" w:hAnsi="Times New Roman"/>
        </w:rPr>
      </w:pPr>
      <w:r>
        <w:rPr>
          <w:rFonts w:ascii="Times New Roman" w:hAnsi="Times New Roman"/>
        </w:rPr>
        <w:t>Cost report inputs were used as reported</w:t>
      </w:r>
      <w:r w:rsidR="000E3F56">
        <w:rPr>
          <w:rFonts w:ascii="Times New Roman" w:hAnsi="Times New Roman"/>
        </w:rPr>
        <w:t>.</w:t>
      </w:r>
    </w:p>
    <w:p w14:paraId="2EBB7DC2" w14:textId="03D1F4CA" w:rsidR="000D6A81" w:rsidRDefault="0051283C" w:rsidP="0027509D">
      <w:pPr>
        <w:pStyle w:val="ListParagraph"/>
        <w:numPr>
          <w:ilvl w:val="0"/>
          <w:numId w:val="1"/>
        </w:numPr>
        <w:rPr>
          <w:rFonts w:ascii="Times New Roman" w:hAnsi="Times New Roman"/>
        </w:rPr>
      </w:pPr>
      <w:r>
        <w:rPr>
          <w:rFonts w:ascii="Times New Roman" w:hAnsi="Times New Roman"/>
        </w:rPr>
        <w:t>CMS cost reporting standards do not consider certain usual and ordinary business costs</w:t>
      </w:r>
      <w:r w:rsidR="00965FDA">
        <w:rPr>
          <w:rFonts w:ascii="Times New Roman" w:hAnsi="Times New Roman"/>
        </w:rPr>
        <w:t xml:space="preserve">, such as marketing, telehealth services and equipment, </w:t>
      </w:r>
      <w:r w:rsidR="0092546D">
        <w:rPr>
          <w:rFonts w:ascii="Times New Roman" w:hAnsi="Times New Roman"/>
        </w:rPr>
        <w:t xml:space="preserve">and </w:t>
      </w:r>
      <w:r w:rsidR="00965FDA">
        <w:rPr>
          <w:rFonts w:ascii="Times New Roman" w:hAnsi="Times New Roman"/>
        </w:rPr>
        <w:t>certain ta</w:t>
      </w:r>
      <w:r w:rsidR="0092546D">
        <w:rPr>
          <w:rFonts w:ascii="Times New Roman" w:hAnsi="Times New Roman"/>
        </w:rPr>
        <w:t>xes</w:t>
      </w:r>
      <w:r>
        <w:rPr>
          <w:rFonts w:ascii="Times New Roman" w:hAnsi="Times New Roman"/>
        </w:rPr>
        <w:t xml:space="preserve"> as “allowable</w:t>
      </w:r>
      <w:r w:rsidR="004A2A4D">
        <w:rPr>
          <w:rFonts w:ascii="Times New Roman" w:hAnsi="Times New Roman"/>
        </w:rPr>
        <w:t>”</w:t>
      </w:r>
      <w:r w:rsidR="00964296" w:rsidRPr="0027509D">
        <w:rPr>
          <w:rFonts w:ascii="Times New Roman" w:hAnsi="Times New Roman"/>
        </w:rPr>
        <w:t xml:space="preserve"> </w:t>
      </w:r>
      <w:r w:rsidR="0092546D">
        <w:rPr>
          <w:rFonts w:ascii="Times New Roman" w:hAnsi="Times New Roman"/>
        </w:rPr>
        <w:t>thereby depressing the amount of costs in the margin analysis</w:t>
      </w:r>
      <w:r w:rsidR="000E3F56">
        <w:rPr>
          <w:rFonts w:ascii="Times New Roman" w:hAnsi="Times New Roman"/>
        </w:rPr>
        <w:t>.</w:t>
      </w:r>
    </w:p>
    <w:p w14:paraId="17ED0631" w14:textId="18F3D5FC" w:rsidR="000A21A4" w:rsidRDefault="000D6A81" w:rsidP="0027509D">
      <w:pPr>
        <w:pStyle w:val="ListParagraph"/>
        <w:numPr>
          <w:ilvl w:val="0"/>
          <w:numId w:val="1"/>
        </w:numPr>
        <w:rPr>
          <w:rFonts w:ascii="Times New Roman" w:hAnsi="Times New Roman"/>
        </w:rPr>
      </w:pPr>
      <w:r>
        <w:rPr>
          <w:rFonts w:ascii="Times New Roman" w:hAnsi="Times New Roman"/>
        </w:rPr>
        <w:t xml:space="preserve">The wide range in margins makes the nature of the cost report trimming </w:t>
      </w:r>
      <w:r w:rsidR="00B209FF">
        <w:rPr>
          <w:rFonts w:ascii="Times New Roman" w:hAnsi="Times New Roman"/>
        </w:rPr>
        <w:t>a</w:t>
      </w:r>
      <w:r w:rsidR="000A21A4">
        <w:rPr>
          <w:rFonts w:ascii="Times New Roman" w:hAnsi="Times New Roman"/>
        </w:rPr>
        <w:t>ffect the margin calculation</w:t>
      </w:r>
      <w:r w:rsidR="000E3F56">
        <w:rPr>
          <w:rFonts w:ascii="Times New Roman" w:hAnsi="Times New Roman"/>
        </w:rPr>
        <w:t>.</w:t>
      </w:r>
    </w:p>
    <w:p w14:paraId="66CDC7DE" w14:textId="77777777" w:rsidR="00CB2114" w:rsidRDefault="00CB2114" w:rsidP="000A21A4">
      <w:pPr>
        <w:rPr>
          <w:rFonts w:ascii="Times New Roman" w:hAnsi="Times New Roman"/>
        </w:rPr>
      </w:pPr>
    </w:p>
    <w:p w14:paraId="326CC331" w14:textId="5DD03969" w:rsidR="0041532F" w:rsidRDefault="000A21A4" w:rsidP="00AB1332">
      <w:pPr>
        <w:ind w:firstLine="360"/>
        <w:rPr>
          <w:rFonts w:ascii="Times New Roman" w:hAnsi="Times New Roman"/>
        </w:rPr>
      </w:pPr>
      <w:r>
        <w:rPr>
          <w:rFonts w:ascii="Times New Roman" w:hAnsi="Times New Roman"/>
        </w:rPr>
        <w:t>Most notable from the cost report analysis is that HHAs experience</w:t>
      </w:r>
      <w:r w:rsidR="00CB2114">
        <w:rPr>
          <w:rFonts w:ascii="Times New Roman" w:hAnsi="Times New Roman"/>
        </w:rPr>
        <w:t xml:space="preserve"> a wide range of financial outcomes in both the “Medicare Margin” and the “Overall Margin.” This outcome occurs regardless of HHA geograp</w:t>
      </w:r>
      <w:r w:rsidR="00EF046C">
        <w:rPr>
          <w:rFonts w:ascii="Times New Roman" w:hAnsi="Times New Roman"/>
        </w:rPr>
        <w:t xml:space="preserve">hic location, urban or rural service area, tax status, or size. </w:t>
      </w:r>
      <w:r w:rsidR="00735D44">
        <w:rPr>
          <w:rFonts w:ascii="Times New Roman" w:hAnsi="Times New Roman"/>
        </w:rPr>
        <w:t>The wide</w:t>
      </w:r>
      <w:r w:rsidR="00F7714C">
        <w:rPr>
          <w:rFonts w:ascii="Times New Roman" w:hAnsi="Times New Roman"/>
        </w:rPr>
        <w:t xml:space="preserve"> range </w:t>
      </w:r>
      <w:r w:rsidR="008F392F">
        <w:rPr>
          <w:rFonts w:ascii="Times New Roman" w:hAnsi="Times New Roman"/>
        </w:rPr>
        <w:t>of</w:t>
      </w:r>
      <w:r w:rsidR="00E60D48">
        <w:rPr>
          <w:rFonts w:ascii="Times New Roman" w:hAnsi="Times New Roman"/>
        </w:rPr>
        <w:t xml:space="preserve"> </w:t>
      </w:r>
      <w:r w:rsidR="00F7714C">
        <w:rPr>
          <w:rFonts w:ascii="Times New Roman" w:hAnsi="Times New Roman"/>
        </w:rPr>
        <w:t>financial outcomes of a payment model</w:t>
      </w:r>
      <w:r w:rsidR="00D640E9">
        <w:rPr>
          <w:rFonts w:ascii="Times New Roman" w:hAnsi="Times New Roman"/>
        </w:rPr>
        <w:t xml:space="preserve"> set out below</w:t>
      </w:r>
      <w:r w:rsidR="008F392F">
        <w:rPr>
          <w:rFonts w:ascii="Times New Roman" w:hAnsi="Times New Roman"/>
        </w:rPr>
        <w:t xml:space="preserve"> </w:t>
      </w:r>
      <w:r w:rsidR="00F7714C">
        <w:rPr>
          <w:rFonts w:ascii="Times New Roman" w:hAnsi="Times New Roman"/>
        </w:rPr>
        <w:t xml:space="preserve">itself demonstrates </w:t>
      </w:r>
      <w:r w:rsidR="00480173">
        <w:rPr>
          <w:rFonts w:ascii="Times New Roman" w:hAnsi="Times New Roman"/>
        </w:rPr>
        <w:t xml:space="preserve">current </w:t>
      </w:r>
      <w:r w:rsidR="00F7714C">
        <w:rPr>
          <w:rFonts w:ascii="Times New Roman" w:hAnsi="Times New Roman"/>
        </w:rPr>
        <w:t>fragility and uncertaint</w:t>
      </w:r>
      <w:r w:rsidR="008E1D04">
        <w:rPr>
          <w:rFonts w:ascii="Times New Roman" w:hAnsi="Times New Roman"/>
        </w:rPr>
        <w:t>y in the financial status of the organization</w:t>
      </w:r>
      <w:r w:rsidR="00480173">
        <w:rPr>
          <w:rFonts w:ascii="Times New Roman" w:hAnsi="Times New Roman"/>
        </w:rPr>
        <w:t xml:space="preserve"> along with the impact of any future rate changes</w:t>
      </w:r>
      <w:r w:rsidR="00F84033">
        <w:rPr>
          <w:rFonts w:ascii="Times New Roman" w:hAnsi="Times New Roman"/>
        </w:rPr>
        <w:t xml:space="preserve">. </w:t>
      </w:r>
      <w:r w:rsidR="00E67BA1">
        <w:rPr>
          <w:rFonts w:ascii="Times New Roman" w:hAnsi="Times New Roman"/>
        </w:rPr>
        <w:t>Most importantly, it demonstrates that re</w:t>
      </w:r>
      <w:r w:rsidR="008D10FD">
        <w:rPr>
          <w:rFonts w:ascii="Times New Roman" w:hAnsi="Times New Roman"/>
        </w:rPr>
        <w:t>l</w:t>
      </w:r>
      <w:r w:rsidR="00E67BA1">
        <w:rPr>
          <w:rFonts w:ascii="Times New Roman" w:hAnsi="Times New Roman"/>
        </w:rPr>
        <w:t xml:space="preserve">ying upon </w:t>
      </w:r>
      <w:r w:rsidR="008D10FD">
        <w:rPr>
          <w:rFonts w:ascii="Times New Roman" w:hAnsi="Times New Roman"/>
        </w:rPr>
        <w:t xml:space="preserve">averages is a high risk undertaking when setting or evaluating payment rates </w:t>
      </w:r>
      <w:r w:rsidR="0033443D">
        <w:rPr>
          <w:rFonts w:ascii="Times New Roman" w:hAnsi="Times New Roman"/>
        </w:rPr>
        <w:t>and any changes in payment rates, particula</w:t>
      </w:r>
      <w:r w:rsidR="005D2580">
        <w:rPr>
          <w:rFonts w:ascii="Times New Roman" w:hAnsi="Times New Roman"/>
        </w:rPr>
        <w:t>r</w:t>
      </w:r>
      <w:r w:rsidR="0033443D">
        <w:rPr>
          <w:rFonts w:ascii="Times New Roman" w:hAnsi="Times New Roman"/>
        </w:rPr>
        <w:t>ly as it relates to the impact on care access</w:t>
      </w:r>
      <w:r w:rsidR="005D2580">
        <w:rPr>
          <w:rFonts w:ascii="Times New Roman" w:hAnsi="Times New Roman"/>
        </w:rPr>
        <w:t xml:space="preserve"> as </w:t>
      </w:r>
      <w:r w:rsidR="007F0456">
        <w:rPr>
          <w:rFonts w:ascii="Times New Roman" w:hAnsi="Times New Roman"/>
        </w:rPr>
        <w:t>averaging</w:t>
      </w:r>
      <w:r w:rsidR="005D2580">
        <w:rPr>
          <w:rFonts w:ascii="Times New Roman" w:hAnsi="Times New Roman"/>
        </w:rPr>
        <w:t xml:space="preserve"> masks the impact that comes from losing </w:t>
      </w:r>
      <w:r w:rsidR="00D85CCA">
        <w:rPr>
          <w:rFonts w:ascii="Times New Roman" w:hAnsi="Times New Roman"/>
        </w:rPr>
        <w:t xml:space="preserve">those providers with margins below the average. </w:t>
      </w:r>
      <w:r w:rsidR="0033443D">
        <w:rPr>
          <w:rFonts w:ascii="Times New Roman" w:hAnsi="Times New Roman"/>
        </w:rPr>
        <w:t xml:space="preserve">  </w:t>
      </w:r>
      <w:r w:rsidR="00CB2114">
        <w:rPr>
          <w:rFonts w:ascii="Times New Roman" w:hAnsi="Times New Roman"/>
        </w:rPr>
        <w:t xml:space="preserve"> </w:t>
      </w:r>
    </w:p>
    <w:p w14:paraId="4DD03345" w14:textId="77777777" w:rsidR="0041532F" w:rsidRDefault="0041532F" w:rsidP="000A21A4">
      <w:pPr>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BC3626" w14:paraId="15056F32" w14:textId="77777777" w:rsidTr="00BC3626">
        <w:tc>
          <w:tcPr>
            <w:tcW w:w="3116" w:type="dxa"/>
          </w:tcPr>
          <w:p w14:paraId="37A3E2C0" w14:textId="6E410106" w:rsidR="00BC3626" w:rsidRPr="00996D41" w:rsidRDefault="00996D41" w:rsidP="000A21A4">
            <w:pPr>
              <w:rPr>
                <w:rFonts w:ascii="Times New Roman" w:hAnsi="Times New Roman"/>
                <w:b/>
                <w:bCs/>
              </w:rPr>
            </w:pPr>
            <w:r w:rsidRPr="00996D41">
              <w:rPr>
                <w:rFonts w:ascii="Times New Roman" w:hAnsi="Times New Roman"/>
                <w:b/>
                <w:bCs/>
              </w:rPr>
              <w:t>Cost Reports FYE 12/31/22</w:t>
            </w:r>
          </w:p>
        </w:tc>
        <w:tc>
          <w:tcPr>
            <w:tcW w:w="3117" w:type="dxa"/>
          </w:tcPr>
          <w:p w14:paraId="253EAAAE" w14:textId="77777777" w:rsidR="00BC3626" w:rsidRDefault="00BC3626" w:rsidP="000A21A4">
            <w:pPr>
              <w:rPr>
                <w:rFonts w:ascii="Times New Roman" w:hAnsi="Times New Roman"/>
              </w:rPr>
            </w:pPr>
          </w:p>
        </w:tc>
        <w:tc>
          <w:tcPr>
            <w:tcW w:w="3117" w:type="dxa"/>
          </w:tcPr>
          <w:p w14:paraId="7026A143" w14:textId="77777777" w:rsidR="00BC3626" w:rsidRDefault="00BC3626" w:rsidP="000A21A4">
            <w:pPr>
              <w:rPr>
                <w:rFonts w:ascii="Times New Roman" w:hAnsi="Times New Roman"/>
              </w:rPr>
            </w:pPr>
          </w:p>
        </w:tc>
      </w:tr>
      <w:tr w:rsidR="00BC3626" w14:paraId="5EA819A9" w14:textId="77777777" w:rsidTr="00BC3626">
        <w:tc>
          <w:tcPr>
            <w:tcW w:w="3116" w:type="dxa"/>
          </w:tcPr>
          <w:p w14:paraId="0C877B5A" w14:textId="77777777" w:rsidR="00BC3626" w:rsidRDefault="00BC3626" w:rsidP="000A21A4">
            <w:pPr>
              <w:rPr>
                <w:rFonts w:ascii="Times New Roman" w:hAnsi="Times New Roman"/>
              </w:rPr>
            </w:pPr>
          </w:p>
        </w:tc>
        <w:tc>
          <w:tcPr>
            <w:tcW w:w="3117" w:type="dxa"/>
          </w:tcPr>
          <w:p w14:paraId="4493E949" w14:textId="77777777" w:rsidR="00BC3626" w:rsidRDefault="00BC3626" w:rsidP="000A21A4">
            <w:pPr>
              <w:rPr>
                <w:rFonts w:ascii="Times New Roman" w:hAnsi="Times New Roman"/>
              </w:rPr>
            </w:pPr>
          </w:p>
        </w:tc>
        <w:tc>
          <w:tcPr>
            <w:tcW w:w="3117" w:type="dxa"/>
          </w:tcPr>
          <w:p w14:paraId="79697B32" w14:textId="77777777" w:rsidR="00BC3626" w:rsidRDefault="00BC3626" w:rsidP="000A21A4">
            <w:pPr>
              <w:rPr>
                <w:rFonts w:ascii="Times New Roman" w:hAnsi="Times New Roman"/>
              </w:rPr>
            </w:pPr>
          </w:p>
        </w:tc>
      </w:tr>
      <w:tr w:rsidR="00BC3626" w14:paraId="6D6AA822" w14:textId="77777777" w:rsidTr="00BC3626">
        <w:tc>
          <w:tcPr>
            <w:tcW w:w="3116" w:type="dxa"/>
          </w:tcPr>
          <w:p w14:paraId="71ED42D5" w14:textId="3732D63C" w:rsidR="00BC3626" w:rsidRPr="00996D41" w:rsidRDefault="00996D41" w:rsidP="000A21A4">
            <w:pPr>
              <w:rPr>
                <w:rFonts w:ascii="Times New Roman" w:hAnsi="Times New Roman"/>
                <w:b/>
                <w:bCs/>
              </w:rPr>
            </w:pPr>
            <w:r>
              <w:rPr>
                <w:rFonts w:ascii="Times New Roman" w:hAnsi="Times New Roman"/>
                <w:b/>
                <w:bCs/>
              </w:rPr>
              <w:t>Region</w:t>
            </w:r>
          </w:p>
        </w:tc>
        <w:tc>
          <w:tcPr>
            <w:tcW w:w="3117" w:type="dxa"/>
          </w:tcPr>
          <w:p w14:paraId="3629C86F" w14:textId="04D566DC" w:rsidR="00BC3626" w:rsidRPr="00E704EE" w:rsidRDefault="00E704EE" w:rsidP="000A21A4">
            <w:pPr>
              <w:rPr>
                <w:rFonts w:ascii="Times New Roman" w:hAnsi="Times New Roman"/>
                <w:b/>
                <w:bCs/>
              </w:rPr>
            </w:pPr>
            <w:r w:rsidRPr="00E704EE">
              <w:rPr>
                <w:rFonts w:ascii="Times New Roman" w:hAnsi="Times New Roman"/>
                <w:b/>
                <w:bCs/>
              </w:rPr>
              <w:t>Total Medicare FFS Reimbursement</w:t>
            </w:r>
          </w:p>
        </w:tc>
        <w:tc>
          <w:tcPr>
            <w:tcW w:w="3117" w:type="dxa"/>
          </w:tcPr>
          <w:p w14:paraId="7BFB2941" w14:textId="06F3B7EB" w:rsidR="00BC3626" w:rsidRPr="00E704EE" w:rsidRDefault="00E704EE" w:rsidP="000A21A4">
            <w:pPr>
              <w:rPr>
                <w:rFonts w:ascii="Times New Roman" w:hAnsi="Times New Roman"/>
                <w:b/>
                <w:bCs/>
              </w:rPr>
            </w:pPr>
            <w:r w:rsidRPr="00E704EE">
              <w:rPr>
                <w:rFonts w:ascii="Times New Roman" w:hAnsi="Times New Roman"/>
                <w:b/>
                <w:bCs/>
              </w:rPr>
              <w:t xml:space="preserve">Number of HHAs </w:t>
            </w:r>
          </w:p>
        </w:tc>
      </w:tr>
      <w:tr w:rsidR="00BC3626" w14:paraId="020017D3" w14:textId="77777777" w:rsidTr="00BC3626">
        <w:tc>
          <w:tcPr>
            <w:tcW w:w="3116" w:type="dxa"/>
          </w:tcPr>
          <w:p w14:paraId="2FC11491" w14:textId="7EFDE602" w:rsidR="00BC3626" w:rsidRPr="00E704EE" w:rsidRDefault="00E704EE" w:rsidP="000A21A4">
            <w:pPr>
              <w:rPr>
                <w:rFonts w:ascii="Times New Roman" w:hAnsi="Times New Roman"/>
                <w:b/>
                <w:bCs/>
              </w:rPr>
            </w:pPr>
            <w:r>
              <w:rPr>
                <w:rFonts w:ascii="Times New Roman" w:hAnsi="Times New Roman"/>
                <w:b/>
                <w:bCs/>
              </w:rPr>
              <w:t>National</w:t>
            </w:r>
          </w:p>
        </w:tc>
        <w:tc>
          <w:tcPr>
            <w:tcW w:w="3117" w:type="dxa"/>
          </w:tcPr>
          <w:p w14:paraId="1D3ECE07" w14:textId="04EA8CF5" w:rsidR="00BC3626" w:rsidRDefault="00F8644F" w:rsidP="000A21A4">
            <w:pPr>
              <w:rPr>
                <w:rFonts w:ascii="Times New Roman" w:hAnsi="Times New Roman"/>
              </w:rPr>
            </w:pPr>
            <w:r>
              <w:rPr>
                <w:rFonts w:ascii="Times New Roman" w:hAnsi="Times New Roman"/>
              </w:rPr>
              <w:t>$11,625,894,736</w:t>
            </w:r>
          </w:p>
        </w:tc>
        <w:tc>
          <w:tcPr>
            <w:tcW w:w="3117" w:type="dxa"/>
          </w:tcPr>
          <w:p w14:paraId="0D72A3BC" w14:textId="48CB5F3B" w:rsidR="00BC3626" w:rsidRDefault="00F8644F" w:rsidP="000A21A4">
            <w:pPr>
              <w:rPr>
                <w:rFonts w:ascii="Times New Roman" w:hAnsi="Times New Roman"/>
              </w:rPr>
            </w:pPr>
            <w:r>
              <w:rPr>
                <w:rFonts w:ascii="Times New Roman" w:hAnsi="Times New Roman"/>
              </w:rPr>
              <w:t>5,639</w:t>
            </w:r>
          </w:p>
        </w:tc>
      </w:tr>
      <w:tr w:rsidR="00BC3626" w14:paraId="778ECFCE" w14:textId="77777777" w:rsidTr="00BC3626">
        <w:tc>
          <w:tcPr>
            <w:tcW w:w="3116" w:type="dxa"/>
          </w:tcPr>
          <w:p w14:paraId="589EB9CA" w14:textId="77777777" w:rsidR="00BC3626" w:rsidRDefault="00BC3626" w:rsidP="000A21A4">
            <w:pPr>
              <w:rPr>
                <w:rFonts w:ascii="Times New Roman" w:hAnsi="Times New Roman"/>
              </w:rPr>
            </w:pPr>
          </w:p>
        </w:tc>
        <w:tc>
          <w:tcPr>
            <w:tcW w:w="3117" w:type="dxa"/>
          </w:tcPr>
          <w:p w14:paraId="5C4A66CE" w14:textId="77777777" w:rsidR="00BC3626" w:rsidRDefault="00BC3626" w:rsidP="000A21A4">
            <w:pPr>
              <w:rPr>
                <w:rFonts w:ascii="Times New Roman" w:hAnsi="Times New Roman"/>
              </w:rPr>
            </w:pPr>
          </w:p>
        </w:tc>
        <w:tc>
          <w:tcPr>
            <w:tcW w:w="3117" w:type="dxa"/>
          </w:tcPr>
          <w:p w14:paraId="2D56D74F" w14:textId="77777777" w:rsidR="00BC3626" w:rsidRDefault="00BC3626" w:rsidP="000A21A4">
            <w:pPr>
              <w:rPr>
                <w:rFonts w:ascii="Times New Roman" w:hAnsi="Times New Roman"/>
              </w:rPr>
            </w:pPr>
          </w:p>
        </w:tc>
      </w:tr>
      <w:tr w:rsidR="004C70EE" w14:paraId="7CA3838F" w14:textId="77777777" w:rsidTr="00BC3626">
        <w:tc>
          <w:tcPr>
            <w:tcW w:w="3116" w:type="dxa"/>
          </w:tcPr>
          <w:p w14:paraId="2CB38679" w14:textId="77777777" w:rsidR="004C70EE" w:rsidRDefault="004C70EE" w:rsidP="000A21A4">
            <w:pPr>
              <w:rPr>
                <w:rFonts w:ascii="Times New Roman" w:hAnsi="Times New Roman"/>
              </w:rPr>
            </w:pPr>
          </w:p>
        </w:tc>
        <w:tc>
          <w:tcPr>
            <w:tcW w:w="3117" w:type="dxa"/>
          </w:tcPr>
          <w:p w14:paraId="7E3A9869" w14:textId="77777777" w:rsidR="004C70EE" w:rsidRDefault="004C70EE" w:rsidP="000A21A4">
            <w:pPr>
              <w:rPr>
                <w:rFonts w:ascii="Times New Roman" w:hAnsi="Times New Roman"/>
              </w:rPr>
            </w:pPr>
          </w:p>
        </w:tc>
        <w:tc>
          <w:tcPr>
            <w:tcW w:w="3117" w:type="dxa"/>
          </w:tcPr>
          <w:p w14:paraId="28F5E6C9" w14:textId="77777777" w:rsidR="004C70EE" w:rsidRDefault="004C70EE" w:rsidP="000A21A4">
            <w:pPr>
              <w:rPr>
                <w:rFonts w:ascii="Times New Roman" w:hAnsi="Times New Roman"/>
              </w:rPr>
            </w:pPr>
          </w:p>
        </w:tc>
      </w:tr>
      <w:tr w:rsidR="00BC3626" w14:paraId="3E235E49" w14:textId="77777777" w:rsidTr="00BC3626">
        <w:tc>
          <w:tcPr>
            <w:tcW w:w="3116" w:type="dxa"/>
          </w:tcPr>
          <w:p w14:paraId="3CC7176F" w14:textId="33A16026" w:rsidR="00BC3626" w:rsidRPr="00384F08" w:rsidRDefault="00DA1B63" w:rsidP="000A21A4">
            <w:pPr>
              <w:rPr>
                <w:rFonts w:ascii="Times New Roman" w:hAnsi="Times New Roman"/>
                <w:b/>
                <w:bCs/>
              </w:rPr>
            </w:pPr>
            <w:r w:rsidRPr="00384F08">
              <w:rPr>
                <w:rFonts w:ascii="Times New Roman" w:hAnsi="Times New Roman"/>
                <w:b/>
                <w:bCs/>
              </w:rPr>
              <w:t>Medicare Margin</w:t>
            </w:r>
          </w:p>
        </w:tc>
        <w:tc>
          <w:tcPr>
            <w:tcW w:w="3117" w:type="dxa"/>
          </w:tcPr>
          <w:p w14:paraId="3CDAD212" w14:textId="49A43138" w:rsidR="00BC3626" w:rsidRPr="00384F08" w:rsidRDefault="00DA1B63" w:rsidP="000A21A4">
            <w:pPr>
              <w:rPr>
                <w:rFonts w:ascii="Times New Roman" w:hAnsi="Times New Roman"/>
                <w:b/>
                <w:bCs/>
              </w:rPr>
            </w:pPr>
            <w:r w:rsidRPr="00384F08">
              <w:rPr>
                <w:rFonts w:ascii="Times New Roman" w:hAnsi="Times New Roman"/>
                <w:b/>
                <w:bCs/>
              </w:rPr>
              <w:t>Number of HHAs</w:t>
            </w:r>
          </w:p>
        </w:tc>
        <w:tc>
          <w:tcPr>
            <w:tcW w:w="3117" w:type="dxa"/>
          </w:tcPr>
          <w:p w14:paraId="31B9C0BA" w14:textId="56002B4C" w:rsidR="00BC3626" w:rsidRPr="00384F08" w:rsidRDefault="00DA1B63" w:rsidP="000A21A4">
            <w:pPr>
              <w:rPr>
                <w:rFonts w:ascii="Times New Roman" w:hAnsi="Times New Roman"/>
                <w:b/>
                <w:bCs/>
              </w:rPr>
            </w:pPr>
            <w:r w:rsidRPr="00384F08">
              <w:rPr>
                <w:rFonts w:ascii="Times New Roman" w:hAnsi="Times New Roman"/>
                <w:b/>
                <w:bCs/>
              </w:rPr>
              <w:t>Percentage of HHAs</w:t>
            </w:r>
          </w:p>
        </w:tc>
      </w:tr>
      <w:tr w:rsidR="00384F08" w14:paraId="4E321829" w14:textId="77777777" w:rsidTr="00BC3626">
        <w:tc>
          <w:tcPr>
            <w:tcW w:w="3116" w:type="dxa"/>
          </w:tcPr>
          <w:p w14:paraId="5255412C" w14:textId="77777777" w:rsidR="00384F08" w:rsidRPr="00384F08" w:rsidRDefault="00384F08" w:rsidP="000A21A4">
            <w:pPr>
              <w:rPr>
                <w:rFonts w:ascii="Times New Roman" w:hAnsi="Times New Roman"/>
                <w:b/>
                <w:bCs/>
              </w:rPr>
            </w:pPr>
          </w:p>
        </w:tc>
        <w:tc>
          <w:tcPr>
            <w:tcW w:w="3117" w:type="dxa"/>
          </w:tcPr>
          <w:p w14:paraId="2BB20370" w14:textId="77777777" w:rsidR="00384F08" w:rsidRPr="00384F08" w:rsidRDefault="00384F08" w:rsidP="000A21A4">
            <w:pPr>
              <w:rPr>
                <w:rFonts w:ascii="Times New Roman" w:hAnsi="Times New Roman"/>
                <w:b/>
                <w:bCs/>
              </w:rPr>
            </w:pPr>
          </w:p>
        </w:tc>
        <w:tc>
          <w:tcPr>
            <w:tcW w:w="3117" w:type="dxa"/>
          </w:tcPr>
          <w:p w14:paraId="673A99FB" w14:textId="77777777" w:rsidR="00384F08" w:rsidRPr="00384F08" w:rsidRDefault="00384F08" w:rsidP="000A21A4">
            <w:pPr>
              <w:rPr>
                <w:rFonts w:ascii="Times New Roman" w:hAnsi="Times New Roman"/>
                <w:b/>
                <w:bCs/>
              </w:rPr>
            </w:pPr>
          </w:p>
        </w:tc>
      </w:tr>
      <w:tr w:rsidR="00BC3626" w14:paraId="7B5600B7" w14:textId="77777777" w:rsidTr="00BC3626">
        <w:tc>
          <w:tcPr>
            <w:tcW w:w="3116" w:type="dxa"/>
          </w:tcPr>
          <w:p w14:paraId="6DE4F1A1" w14:textId="372C7CB9" w:rsidR="00BC3626" w:rsidRDefault="00B578FF" w:rsidP="000A21A4">
            <w:pPr>
              <w:rPr>
                <w:rFonts w:ascii="Times New Roman" w:hAnsi="Times New Roman"/>
              </w:rPr>
            </w:pPr>
            <w:r>
              <w:rPr>
                <w:rFonts w:ascii="Times New Roman" w:hAnsi="Times New Roman"/>
              </w:rPr>
              <w:t>Greater than 20%</w:t>
            </w:r>
          </w:p>
        </w:tc>
        <w:tc>
          <w:tcPr>
            <w:tcW w:w="3117" w:type="dxa"/>
          </w:tcPr>
          <w:p w14:paraId="0316A8E6" w14:textId="54CFA581" w:rsidR="00BC3626" w:rsidRDefault="00B578FF" w:rsidP="000A21A4">
            <w:pPr>
              <w:rPr>
                <w:rFonts w:ascii="Times New Roman" w:hAnsi="Times New Roman"/>
              </w:rPr>
            </w:pPr>
            <w:r>
              <w:rPr>
                <w:rFonts w:ascii="Times New Roman" w:hAnsi="Times New Roman"/>
              </w:rPr>
              <w:t>2,958</w:t>
            </w:r>
          </w:p>
        </w:tc>
        <w:tc>
          <w:tcPr>
            <w:tcW w:w="3117" w:type="dxa"/>
          </w:tcPr>
          <w:p w14:paraId="175A3954" w14:textId="4175EDAB" w:rsidR="00BC3626" w:rsidRDefault="00B578FF" w:rsidP="000A21A4">
            <w:pPr>
              <w:rPr>
                <w:rFonts w:ascii="Times New Roman" w:hAnsi="Times New Roman"/>
              </w:rPr>
            </w:pPr>
            <w:r>
              <w:rPr>
                <w:rFonts w:ascii="Times New Roman" w:hAnsi="Times New Roman"/>
              </w:rPr>
              <w:t>52.6%</w:t>
            </w:r>
          </w:p>
        </w:tc>
      </w:tr>
      <w:tr w:rsidR="00BC3626" w14:paraId="26D935CE" w14:textId="77777777" w:rsidTr="00BC3626">
        <w:tc>
          <w:tcPr>
            <w:tcW w:w="3116" w:type="dxa"/>
          </w:tcPr>
          <w:p w14:paraId="2D665BFA" w14:textId="7F4E9090" w:rsidR="00BC3626" w:rsidRDefault="00035CC4" w:rsidP="000A21A4">
            <w:pPr>
              <w:rPr>
                <w:rFonts w:ascii="Times New Roman" w:hAnsi="Times New Roman"/>
              </w:rPr>
            </w:pPr>
            <w:r>
              <w:rPr>
                <w:rFonts w:ascii="Times New Roman" w:hAnsi="Times New Roman"/>
              </w:rPr>
              <w:t>Between 0% and 20%</w:t>
            </w:r>
          </w:p>
        </w:tc>
        <w:tc>
          <w:tcPr>
            <w:tcW w:w="3117" w:type="dxa"/>
          </w:tcPr>
          <w:p w14:paraId="4AE34416" w14:textId="58A7FC78" w:rsidR="00BC3626" w:rsidRDefault="00035CC4" w:rsidP="000A21A4">
            <w:pPr>
              <w:rPr>
                <w:rFonts w:ascii="Times New Roman" w:hAnsi="Times New Roman"/>
              </w:rPr>
            </w:pPr>
            <w:r>
              <w:rPr>
                <w:rFonts w:ascii="Times New Roman" w:hAnsi="Times New Roman"/>
              </w:rPr>
              <w:t>1,479</w:t>
            </w:r>
          </w:p>
        </w:tc>
        <w:tc>
          <w:tcPr>
            <w:tcW w:w="3117" w:type="dxa"/>
          </w:tcPr>
          <w:p w14:paraId="0BB7D7A9" w14:textId="59D0B2A7" w:rsidR="00BC3626" w:rsidRDefault="00B578FF" w:rsidP="000A21A4">
            <w:pPr>
              <w:rPr>
                <w:rFonts w:ascii="Times New Roman" w:hAnsi="Times New Roman"/>
              </w:rPr>
            </w:pPr>
            <w:r>
              <w:rPr>
                <w:rFonts w:ascii="Times New Roman" w:hAnsi="Times New Roman"/>
              </w:rPr>
              <w:t>26.2%</w:t>
            </w:r>
          </w:p>
        </w:tc>
      </w:tr>
      <w:tr w:rsidR="00BC3626" w14:paraId="2ABC56C8" w14:textId="77777777" w:rsidTr="00BC3626">
        <w:tc>
          <w:tcPr>
            <w:tcW w:w="3116" w:type="dxa"/>
          </w:tcPr>
          <w:p w14:paraId="75F1D748" w14:textId="3D130FD7" w:rsidR="00BC3626" w:rsidRDefault="00035CC4" w:rsidP="000A21A4">
            <w:pPr>
              <w:rPr>
                <w:rFonts w:ascii="Times New Roman" w:hAnsi="Times New Roman"/>
              </w:rPr>
            </w:pPr>
            <w:r>
              <w:rPr>
                <w:rFonts w:ascii="Times New Roman" w:hAnsi="Times New Roman"/>
              </w:rPr>
              <w:t>Less than 0%</w:t>
            </w:r>
          </w:p>
        </w:tc>
        <w:tc>
          <w:tcPr>
            <w:tcW w:w="3117" w:type="dxa"/>
          </w:tcPr>
          <w:p w14:paraId="59DCCEE1" w14:textId="2BE268E5" w:rsidR="00BC3626" w:rsidRDefault="00384F08" w:rsidP="000A21A4">
            <w:pPr>
              <w:rPr>
                <w:rFonts w:ascii="Times New Roman" w:hAnsi="Times New Roman"/>
              </w:rPr>
            </w:pPr>
            <w:r>
              <w:rPr>
                <w:rFonts w:ascii="Times New Roman" w:hAnsi="Times New Roman"/>
              </w:rPr>
              <w:t>2,681</w:t>
            </w:r>
          </w:p>
        </w:tc>
        <w:tc>
          <w:tcPr>
            <w:tcW w:w="3117" w:type="dxa"/>
          </w:tcPr>
          <w:p w14:paraId="06F972F8" w14:textId="3BD09CB2" w:rsidR="00BC3626" w:rsidRDefault="00B578FF" w:rsidP="000A21A4">
            <w:pPr>
              <w:rPr>
                <w:rFonts w:ascii="Times New Roman" w:hAnsi="Times New Roman"/>
              </w:rPr>
            </w:pPr>
            <w:r>
              <w:rPr>
                <w:rFonts w:ascii="Times New Roman" w:hAnsi="Times New Roman"/>
              </w:rPr>
              <w:t>21.2%</w:t>
            </w:r>
          </w:p>
        </w:tc>
      </w:tr>
      <w:tr w:rsidR="00BC3626" w14:paraId="71A142CC" w14:textId="77777777" w:rsidTr="00BC3626">
        <w:tc>
          <w:tcPr>
            <w:tcW w:w="3116" w:type="dxa"/>
          </w:tcPr>
          <w:p w14:paraId="165A0376" w14:textId="77777777" w:rsidR="00BC3626" w:rsidRDefault="00BC3626" w:rsidP="000A21A4">
            <w:pPr>
              <w:rPr>
                <w:rFonts w:ascii="Times New Roman" w:hAnsi="Times New Roman"/>
              </w:rPr>
            </w:pPr>
          </w:p>
        </w:tc>
        <w:tc>
          <w:tcPr>
            <w:tcW w:w="3117" w:type="dxa"/>
          </w:tcPr>
          <w:p w14:paraId="16438050" w14:textId="77777777" w:rsidR="00BC3626" w:rsidRDefault="00BC3626" w:rsidP="000A21A4">
            <w:pPr>
              <w:rPr>
                <w:rFonts w:ascii="Times New Roman" w:hAnsi="Times New Roman"/>
              </w:rPr>
            </w:pPr>
          </w:p>
        </w:tc>
        <w:tc>
          <w:tcPr>
            <w:tcW w:w="3117" w:type="dxa"/>
          </w:tcPr>
          <w:p w14:paraId="369E4A9D" w14:textId="77777777" w:rsidR="00BC3626" w:rsidRDefault="00BC3626" w:rsidP="000A21A4">
            <w:pPr>
              <w:rPr>
                <w:rFonts w:ascii="Times New Roman" w:hAnsi="Times New Roman"/>
              </w:rPr>
            </w:pPr>
          </w:p>
        </w:tc>
      </w:tr>
    </w:tbl>
    <w:p w14:paraId="410D27BE" w14:textId="77777777" w:rsidR="000D60E1" w:rsidRDefault="000D60E1" w:rsidP="000A21A4">
      <w:pPr>
        <w:rPr>
          <w:rFonts w:ascii="Times New Roman" w:hAnsi="Times New Roman"/>
        </w:rPr>
      </w:pPr>
    </w:p>
    <w:p w14:paraId="22B859FA" w14:textId="77777777" w:rsidR="00A52AB9" w:rsidRDefault="00292F32" w:rsidP="000A21A4">
      <w:pPr>
        <w:rPr>
          <w:rFonts w:ascii="Times New Roman" w:hAnsi="Times New Roman"/>
        </w:rPr>
      </w:pPr>
      <w:r w:rsidRPr="000A21A4">
        <w:rPr>
          <w:rFonts w:ascii="Times New Roman" w:hAnsi="Times New Roman"/>
        </w:rPr>
        <w:t xml:space="preserve"> </w:t>
      </w:r>
    </w:p>
    <w:p w14:paraId="37CBE26E" w14:textId="51E0C46A" w:rsidR="00B86DF9" w:rsidRDefault="0092209B" w:rsidP="00AB1332">
      <w:pPr>
        <w:ind w:firstLine="360"/>
        <w:rPr>
          <w:rFonts w:ascii="Times New Roman" w:hAnsi="Times New Roman"/>
        </w:rPr>
      </w:pPr>
      <w:r>
        <w:rPr>
          <w:rFonts w:ascii="Times New Roman" w:hAnsi="Times New Roman"/>
        </w:rPr>
        <w:t xml:space="preserve">It should be apparent that HHAs with current negative Medicare Margins would face significant financial difficulties in absorbing the proposed </w:t>
      </w:r>
      <w:r w:rsidR="0071199C">
        <w:rPr>
          <w:rFonts w:ascii="Times New Roman" w:hAnsi="Times New Roman"/>
        </w:rPr>
        <w:t xml:space="preserve">additional </w:t>
      </w:r>
      <w:r>
        <w:rPr>
          <w:rFonts w:ascii="Times New Roman" w:hAnsi="Times New Roman"/>
        </w:rPr>
        <w:t>5.</w:t>
      </w:r>
      <w:r w:rsidR="00EC0BB3">
        <w:rPr>
          <w:rFonts w:ascii="Times New Roman" w:hAnsi="Times New Roman"/>
        </w:rPr>
        <w:t>6</w:t>
      </w:r>
      <w:r w:rsidR="00BD4536">
        <w:rPr>
          <w:rFonts w:ascii="Times New Roman" w:hAnsi="Times New Roman"/>
        </w:rPr>
        <w:t>5</w:t>
      </w:r>
      <w:r w:rsidR="00EC0BB3">
        <w:rPr>
          <w:rFonts w:ascii="Times New Roman" w:hAnsi="Times New Roman"/>
        </w:rPr>
        <w:t xml:space="preserve">3% rate cut for 2024 based on FYE 2022 data alone. </w:t>
      </w:r>
      <w:r w:rsidR="006C4650">
        <w:rPr>
          <w:rFonts w:ascii="Times New Roman" w:hAnsi="Times New Roman"/>
        </w:rPr>
        <w:t xml:space="preserve">With those providers, serious negative impact on patients can be fully expected if the </w:t>
      </w:r>
      <w:r w:rsidR="0071199C">
        <w:rPr>
          <w:rFonts w:ascii="Times New Roman" w:hAnsi="Times New Roman"/>
        </w:rPr>
        <w:t xml:space="preserve">affected </w:t>
      </w:r>
      <w:r w:rsidR="006C4650">
        <w:rPr>
          <w:rFonts w:ascii="Times New Roman" w:hAnsi="Times New Roman"/>
        </w:rPr>
        <w:t xml:space="preserve">HHA is to continue operations. </w:t>
      </w:r>
    </w:p>
    <w:p w14:paraId="3EA2A836" w14:textId="77777777" w:rsidR="00B86DF9" w:rsidRDefault="00B86DF9" w:rsidP="000A21A4">
      <w:pPr>
        <w:rPr>
          <w:rFonts w:ascii="Times New Roman" w:hAnsi="Times New Roman"/>
        </w:rPr>
      </w:pPr>
    </w:p>
    <w:p w14:paraId="6E8A635A" w14:textId="39379A3D" w:rsidR="00F7765F" w:rsidRDefault="00B86DF9" w:rsidP="00AB1332">
      <w:pPr>
        <w:ind w:firstLine="360"/>
        <w:rPr>
          <w:rFonts w:ascii="Times New Roman" w:hAnsi="Times New Roman"/>
        </w:rPr>
      </w:pPr>
      <w:r>
        <w:rPr>
          <w:rFonts w:ascii="Times New Roman" w:hAnsi="Times New Roman"/>
        </w:rPr>
        <w:t xml:space="preserve">For HHAs with Medicare Margins above zero percent, </w:t>
      </w:r>
      <w:r w:rsidR="00FE414C">
        <w:rPr>
          <w:rFonts w:ascii="Times New Roman" w:hAnsi="Times New Roman"/>
        </w:rPr>
        <w:t>those difficulties are also</w:t>
      </w:r>
      <w:r w:rsidR="003B670E" w:rsidRPr="000A21A4">
        <w:rPr>
          <w:rFonts w:ascii="Times New Roman" w:hAnsi="Times New Roman"/>
        </w:rPr>
        <w:t xml:space="preserve"> </w:t>
      </w:r>
      <w:r w:rsidR="00FE414C">
        <w:rPr>
          <w:rFonts w:ascii="Times New Roman" w:hAnsi="Times New Roman"/>
        </w:rPr>
        <w:t xml:space="preserve">serious and </w:t>
      </w:r>
      <w:r w:rsidR="00F132BC">
        <w:rPr>
          <w:rFonts w:ascii="Times New Roman" w:hAnsi="Times New Roman"/>
        </w:rPr>
        <w:t>insurmountable</w:t>
      </w:r>
      <w:r w:rsidR="00FE414C">
        <w:rPr>
          <w:rFonts w:ascii="Times New Roman" w:hAnsi="Times New Roman"/>
        </w:rPr>
        <w:t xml:space="preserve"> without negative impacts on patients. </w:t>
      </w:r>
      <w:r w:rsidR="00C96885">
        <w:rPr>
          <w:rFonts w:ascii="Times New Roman" w:hAnsi="Times New Roman"/>
        </w:rPr>
        <w:t>As we have seen over the years</w:t>
      </w:r>
      <w:r w:rsidR="00FA053B">
        <w:rPr>
          <w:rFonts w:ascii="Times New Roman" w:hAnsi="Times New Roman"/>
        </w:rPr>
        <w:t>,</w:t>
      </w:r>
      <w:r w:rsidR="00C96885">
        <w:rPr>
          <w:rFonts w:ascii="Times New Roman" w:hAnsi="Times New Roman"/>
        </w:rPr>
        <w:t xml:space="preserve"> rate cuts have</w:t>
      </w:r>
      <w:r w:rsidR="00420DFE" w:rsidRPr="000A21A4">
        <w:rPr>
          <w:rFonts w:ascii="Times New Roman" w:hAnsi="Times New Roman"/>
        </w:rPr>
        <w:t xml:space="preserve"> </w:t>
      </w:r>
      <w:r w:rsidR="00B52FB6">
        <w:rPr>
          <w:rFonts w:ascii="Times New Roman" w:hAnsi="Times New Roman"/>
        </w:rPr>
        <w:t>reduce</w:t>
      </w:r>
      <w:r w:rsidR="00F7765F">
        <w:rPr>
          <w:rFonts w:ascii="Times New Roman" w:hAnsi="Times New Roman"/>
        </w:rPr>
        <w:t>d</w:t>
      </w:r>
      <w:r w:rsidR="00B52FB6">
        <w:rPr>
          <w:rFonts w:ascii="Times New Roman" w:hAnsi="Times New Roman"/>
        </w:rPr>
        <w:t xml:space="preserve"> access in </w:t>
      </w:r>
      <w:r w:rsidR="008B7899">
        <w:rPr>
          <w:rFonts w:ascii="Times New Roman" w:hAnsi="Times New Roman"/>
        </w:rPr>
        <w:t>several</w:t>
      </w:r>
      <w:r w:rsidR="00B52FB6">
        <w:rPr>
          <w:rFonts w:ascii="Times New Roman" w:hAnsi="Times New Roman"/>
        </w:rPr>
        <w:t xml:space="preserve"> ways, including HHA closures, reduced service areas, reduced</w:t>
      </w:r>
      <w:r w:rsidR="00F7765F">
        <w:rPr>
          <w:rFonts w:ascii="Times New Roman" w:hAnsi="Times New Roman"/>
        </w:rPr>
        <w:t xml:space="preserve"> admissions, and reduced scope of services.</w:t>
      </w:r>
    </w:p>
    <w:p w14:paraId="32FE06DC" w14:textId="77777777" w:rsidR="00F7765F" w:rsidRDefault="00F7765F" w:rsidP="000A21A4">
      <w:pPr>
        <w:rPr>
          <w:rFonts w:ascii="Times New Roman" w:hAnsi="Times New Roman"/>
        </w:rPr>
      </w:pPr>
    </w:p>
    <w:p w14:paraId="718C4ADF" w14:textId="51CA4C15" w:rsidR="00F7765F" w:rsidRDefault="00F7765F" w:rsidP="00AB1332">
      <w:pPr>
        <w:ind w:firstLine="360"/>
        <w:rPr>
          <w:rFonts w:ascii="Times New Roman" w:hAnsi="Times New Roman"/>
        </w:rPr>
      </w:pPr>
      <w:r>
        <w:rPr>
          <w:rFonts w:ascii="Times New Roman" w:hAnsi="Times New Roman"/>
        </w:rPr>
        <w:t>However, we advise CMS not to confine its access impact analysis</w:t>
      </w:r>
      <w:r w:rsidR="00FD0F23">
        <w:rPr>
          <w:rFonts w:ascii="Times New Roman" w:hAnsi="Times New Roman"/>
        </w:rPr>
        <w:t xml:space="preserve"> to a silo built on Medicare Margins data. While payers may prefer to limit their</w:t>
      </w:r>
      <w:r w:rsidR="00436074">
        <w:rPr>
          <w:rFonts w:ascii="Times New Roman" w:hAnsi="Times New Roman"/>
        </w:rPr>
        <w:t xml:space="preserve"> rate impact evaluation to the relationship </w:t>
      </w:r>
      <w:r w:rsidR="00330948">
        <w:rPr>
          <w:rFonts w:ascii="Times New Roman" w:hAnsi="Times New Roman"/>
        </w:rPr>
        <w:t>of</w:t>
      </w:r>
      <w:r w:rsidR="00436074">
        <w:rPr>
          <w:rFonts w:ascii="Times New Roman" w:hAnsi="Times New Roman"/>
        </w:rPr>
        <w:t xml:space="preserve"> its rate</w:t>
      </w:r>
      <w:r w:rsidR="00381E27">
        <w:rPr>
          <w:rFonts w:ascii="Times New Roman" w:hAnsi="Times New Roman"/>
        </w:rPr>
        <w:t xml:space="preserve"> to provider cost, the economic model of HHAs necessitates a view consistent with the HHAs’ </w:t>
      </w:r>
      <w:r w:rsidR="009043CD">
        <w:rPr>
          <w:rFonts w:ascii="Times New Roman" w:hAnsi="Times New Roman"/>
        </w:rPr>
        <w:t xml:space="preserve">evaluation of its overall financial condition. HHAs do not have the luxury of confining its evaluation </w:t>
      </w:r>
      <w:r w:rsidR="005B422E">
        <w:rPr>
          <w:rFonts w:ascii="Times New Roman" w:hAnsi="Times New Roman"/>
        </w:rPr>
        <w:t>to a payer-centered one. Instea</w:t>
      </w:r>
      <w:r w:rsidR="00E70CE4">
        <w:rPr>
          <w:rFonts w:ascii="Times New Roman" w:hAnsi="Times New Roman"/>
        </w:rPr>
        <w:t>d</w:t>
      </w:r>
      <w:r w:rsidR="005B422E">
        <w:rPr>
          <w:rFonts w:ascii="Times New Roman" w:hAnsi="Times New Roman"/>
        </w:rPr>
        <w:t xml:space="preserve">, it must look at the </w:t>
      </w:r>
      <w:r w:rsidR="00996785">
        <w:rPr>
          <w:rFonts w:ascii="Times New Roman" w:hAnsi="Times New Roman"/>
        </w:rPr>
        <w:t xml:space="preserve">overall </w:t>
      </w:r>
      <w:r w:rsidR="005B422E">
        <w:rPr>
          <w:rFonts w:ascii="Times New Roman" w:hAnsi="Times New Roman"/>
        </w:rPr>
        <w:t>combination of payer</w:t>
      </w:r>
      <w:r w:rsidR="00E70CE4">
        <w:rPr>
          <w:rFonts w:ascii="Times New Roman" w:hAnsi="Times New Roman"/>
        </w:rPr>
        <w:t>s</w:t>
      </w:r>
      <w:r w:rsidR="005B422E">
        <w:rPr>
          <w:rFonts w:ascii="Times New Roman" w:hAnsi="Times New Roman"/>
        </w:rPr>
        <w:t xml:space="preserve"> to determine the impact of any </w:t>
      </w:r>
      <w:r w:rsidR="00E70CE4">
        <w:rPr>
          <w:rFonts w:ascii="Times New Roman" w:hAnsi="Times New Roman"/>
        </w:rPr>
        <w:t>single payer c</w:t>
      </w:r>
      <w:r w:rsidR="005B422E">
        <w:rPr>
          <w:rFonts w:ascii="Times New Roman" w:hAnsi="Times New Roman"/>
        </w:rPr>
        <w:t xml:space="preserve">hange </w:t>
      </w:r>
      <w:r w:rsidR="00996785">
        <w:rPr>
          <w:rFonts w:ascii="Times New Roman" w:hAnsi="Times New Roman"/>
        </w:rPr>
        <w:t xml:space="preserve">on its operations </w:t>
      </w:r>
      <w:r w:rsidR="008B7899">
        <w:rPr>
          <w:rFonts w:ascii="Times New Roman" w:hAnsi="Times New Roman"/>
        </w:rPr>
        <w:t>because</w:t>
      </w:r>
      <w:r w:rsidR="00996785">
        <w:rPr>
          <w:rFonts w:ascii="Times New Roman" w:hAnsi="Times New Roman"/>
        </w:rPr>
        <w:t xml:space="preserve"> HHAs</w:t>
      </w:r>
      <w:r w:rsidR="008B7899">
        <w:rPr>
          <w:rFonts w:ascii="Times New Roman" w:hAnsi="Times New Roman"/>
        </w:rPr>
        <w:t>’</w:t>
      </w:r>
      <w:r w:rsidR="00996785">
        <w:rPr>
          <w:rFonts w:ascii="Times New Roman" w:hAnsi="Times New Roman"/>
        </w:rPr>
        <w:t xml:space="preserve"> business</w:t>
      </w:r>
      <w:r w:rsidR="00E75943">
        <w:rPr>
          <w:rFonts w:ascii="Times New Roman" w:hAnsi="Times New Roman"/>
        </w:rPr>
        <w:t xml:space="preserve"> is</w:t>
      </w:r>
      <w:r w:rsidR="00996785">
        <w:rPr>
          <w:rFonts w:ascii="Times New Roman" w:hAnsi="Times New Roman"/>
        </w:rPr>
        <w:t xml:space="preserve"> </w:t>
      </w:r>
      <w:r w:rsidR="00770092">
        <w:rPr>
          <w:rFonts w:ascii="Times New Roman" w:hAnsi="Times New Roman"/>
        </w:rPr>
        <w:t>a variety of government or quasi-</w:t>
      </w:r>
      <w:r w:rsidR="00AD3964">
        <w:rPr>
          <w:rFonts w:ascii="Times New Roman" w:hAnsi="Times New Roman"/>
        </w:rPr>
        <w:t>government-based</w:t>
      </w:r>
      <w:r w:rsidR="00770092">
        <w:rPr>
          <w:rFonts w:ascii="Times New Roman" w:hAnsi="Times New Roman"/>
        </w:rPr>
        <w:t xml:space="preserve"> payers where payment rates are assigned </w:t>
      </w:r>
      <w:r w:rsidR="00A57B21">
        <w:rPr>
          <w:rFonts w:ascii="Times New Roman" w:hAnsi="Times New Roman"/>
        </w:rPr>
        <w:t xml:space="preserve">by the payer, not determined by the provider. For HHAs, </w:t>
      </w:r>
      <w:r w:rsidR="009E1C22">
        <w:rPr>
          <w:rFonts w:ascii="Times New Roman" w:hAnsi="Times New Roman"/>
        </w:rPr>
        <w:t>most</w:t>
      </w:r>
      <w:r w:rsidR="00311F00">
        <w:rPr>
          <w:rFonts w:ascii="Times New Roman" w:hAnsi="Times New Roman"/>
        </w:rPr>
        <w:t xml:space="preserve"> payments come from traditional Medicare, Medicare Advantage, Medicaid, the VA, and Tricare. </w:t>
      </w:r>
      <w:r w:rsidR="00DE277D">
        <w:rPr>
          <w:rFonts w:ascii="Times New Roman" w:hAnsi="Times New Roman"/>
        </w:rPr>
        <w:t>Most HHAs have little or no commercial insurance or private pay home health services, unlike most other hea</w:t>
      </w:r>
      <w:r w:rsidR="00E60D48">
        <w:rPr>
          <w:rFonts w:ascii="Times New Roman" w:hAnsi="Times New Roman"/>
        </w:rPr>
        <w:t>l</w:t>
      </w:r>
      <w:r w:rsidR="00DE277D">
        <w:rPr>
          <w:rFonts w:ascii="Times New Roman" w:hAnsi="Times New Roman"/>
        </w:rPr>
        <w:t xml:space="preserve">th care sectors. </w:t>
      </w:r>
    </w:p>
    <w:p w14:paraId="060507E8" w14:textId="77777777" w:rsidR="00517CF9" w:rsidRDefault="00517CF9" w:rsidP="00AB1332">
      <w:pPr>
        <w:ind w:firstLine="360"/>
        <w:rPr>
          <w:rFonts w:ascii="Times New Roman" w:hAnsi="Times New Roman"/>
        </w:rPr>
      </w:pPr>
    </w:p>
    <w:p w14:paraId="37419525" w14:textId="2B12A9B3" w:rsidR="00484D46" w:rsidRDefault="007819A2" w:rsidP="00AB1332">
      <w:pPr>
        <w:ind w:firstLine="360"/>
        <w:rPr>
          <w:rFonts w:ascii="Times New Roman" w:hAnsi="Times New Roman"/>
        </w:rPr>
      </w:pPr>
      <w:r>
        <w:rPr>
          <w:rFonts w:ascii="Times New Roman" w:hAnsi="Times New Roman"/>
        </w:rPr>
        <w:t>HHAs serve patients and do not distinguish betw</w:t>
      </w:r>
      <w:r w:rsidR="00FE3560">
        <w:rPr>
          <w:rFonts w:ascii="Times New Roman" w:hAnsi="Times New Roman"/>
        </w:rPr>
        <w:t>e</w:t>
      </w:r>
      <w:r>
        <w:rPr>
          <w:rFonts w:ascii="Times New Roman" w:hAnsi="Times New Roman"/>
        </w:rPr>
        <w:t>e</w:t>
      </w:r>
      <w:r w:rsidR="00FE3560">
        <w:rPr>
          <w:rFonts w:ascii="Times New Roman" w:hAnsi="Times New Roman"/>
        </w:rPr>
        <w:t>n</w:t>
      </w:r>
      <w:r>
        <w:rPr>
          <w:rFonts w:ascii="Times New Roman" w:hAnsi="Times New Roman"/>
        </w:rPr>
        <w:t xml:space="preserve"> traditional Medicare patients and those patients covered by Medicare Advantage, Medicaid, the VA, or other payers.</w:t>
      </w:r>
      <w:r w:rsidR="00FE3560">
        <w:rPr>
          <w:rFonts w:ascii="Times New Roman" w:hAnsi="Times New Roman"/>
        </w:rPr>
        <w:t xml:space="preserve"> HHA nurses, therapists, and home health aides</w:t>
      </w:r>
      <w:r w:rsidR="00705741">
        <w:rPr>
          <w:rFonts w:ascii="Times New Roman" w:hAnsi="Times New Roman"/>
        </w:rPr>
        <w:t xml:space="preserve"> provide patient care, not Medicare patient care, Medicare Advantage patient care. Medicaid patient care, or </w:t>
      </w:r>
      <w:r w:rsidR="00C124EA">
        <w:rPr>
          <w:rFonts w:ascii="Times New Roman" w:hAnsi="Times New Roman"/>
        </w:rPr>
        <w:t>care that is different based on payer source. Professional standards of care make home health services</w:t>
      </w:r>
      <w:r w:rsidR="00465045">
        <w:rPr>
          <w:rFonts w:ascii="Times New Roman" w:hAnsi="Times New Roman"/>
        </w:rPr>
        <w:t xml:space="preserve"> payer-agnostic. The Medicare Conditions of Participation apply equally to all</w:t>
      </w:r>
      <w:r w:rsidR="00517CF9">
        <w:rPr>
          <w:rFonts w:ascii="Times New Roman" w:hAnsi="Times New Roman"/>
        </w:rPr>
        <w:t xml:space="preserve"> payers too.</w:t>
      </w:r>
      <w:r w:rsidR="00FE3560">
        <w:rPr>
          <w:rFonts w:ascii="Times New Roman" w:hAnsi="Times New Roman"/>
        </w:rPr>
        <w:t xml:space="preserve"> </w:t>
      </w:r>
    </w:p>
    <w:p w14:paraId="5A5B60C3" w14:textId="77777777" w:rsidR="00AD3964" w:rsidRDefault="00AD3964" w:rsidP="000A21A4">
      <w:pPr>
        <w:rPr>
          <w:rFonts w:ascii="Times New Roman" w:hAnsi="Times New Roman"/>
        </w:rPr>
      </w:pPr>
    </w:p>
    <w:p w14:paraId="5646E3C3" w14:textId="129E682A" w:rsidR="00150236" w:rsidRDefault="00AD3964" w:rsidP="00AB1332">
      <w:pPr>
        <w:ind w:firstLine="360"/>
        <w:rPr>
          <w:rFonts w:ascii="Times New Roman" w:hAnsi="Times New Roman"/>
        </w:rPr>
      </w:pPr>
      <w:r>
        <w:rPr>
          <w:rFonts w:ascii="Times New Roman" w:hAnsi="Times New Roman"/>
        </w:rPr>
        <w:t>It is notable that MedPAC</w:t>
      </w:r>
      <w:r w:rsidR="00245DEC">
        <w:rPr>
          <w:rFonts w:ascii="Times New Roman" w:hAnsi="Times New Roman"/>
        </w:rPr>
        <w:t xml:space="preserve"> evaluates the full financial outcome for inpatient hospital services and SNF services in it</w:t>
      </w:r>
      <w:r w:rsidR="0005720D">
        <w:rPr>
          <w:rFonts w:ascii="Times New Roman" w:hAnsi="Times New Roman"/>
        </w:rPr>
        <w:t>s consideration of the impact of Medicare rates of payment on access to care. Such makes sense as health care providers do not operat</w:t>
      </w:r>
      <w:r w:rsidR="00865347">
        <w:rPr>
          <w:rFonts w:ascii="Times New Roman" w:hAnsi="Times New Roman"/>
        </w:rPr>
        <w:t xml:space="preserve">e in payer-related silos. </w:t>
      </w:r>
      <w:r w:rsidR="0035349E">
        <w:rPr>
          <w:rFonts w:ascii="Times New Roman" w:hAnsi="Times New Roman"/>
        </w:rPr>
        <w:t>AS previously stated, t</w:t>
      </w:r>
      <w:r w:rsidR="00865347">
        <w:rPr>
          <w:rFonts w:ascii="Times New Roman" w:hAnsi="Times New Roman"/>
        </w:rPr>
        <w:t xml:space="preserve">he Medicare Conditions of Participation apply equally to all patients without regard to payer source. In home health </w:t>
      </w:r>
      <w:r w:rsidR="00735D44">
        <w:rPr>
          <w:rFonts w:ascii="Times New Roman" w:hAnsi="Times New Roman"/>
        </w:rPr>
        <w:t>services</w:t>
      </w:r>
      <w:r w:rsidR="00865347">
        <w:rPr>
          <w:rFonts w:ascii="Times New Roman" w:hAnsi="Times New Roman"/>
        </w:rPr>
        <w:t>, all patients are subject to the OASIS</w:t>
      </w:r>
      <w:r w:rsidR="005D7AEF">
        <w:rPr>
          <w:rFonts w:ascii="Times New Roman" w:hAnsi="Times New Roman"/>
        </w:rPr>
        <w:t xml:space="preserve"> patient assessment and quality of care measure</w:t>
      </w:r>
      <w:r w:rsidR="0035349E">
        <w:rPr>
          <w:rFonts w:ascii="Times New Roman" w:hAnsi="Times New Roman"/>
        </w:rPr>
        <w:t xml:space="preserve">s </w:t>
      </w:r>
      <w:r w:rsidR="005D7AEF">
        <w:rPr>
          <w:rFonts w:ascii="Times New Roman" w:hAnsi="Times New Roman"/>
        </w:rPr>
        <w:t xml:space="preserve">along with public </w:t>
      </w:r>
      <w:r w:rsidR="00C65715">
        <w:rPr>
          <w:rFonts w:ascii="Times New Roman" w:hAnsi="Times New Roman"/>
        </w:rPr>
        <w:t xml:space="preserve">quality data </w:t>
      </w:r>
      <w:r w:rsidR="005D7AEF">
        <w:rPr>
          <w:rFonts w:ascii="Times New Roman" w:hAnsi="Times New Roman"/>
        </w:rPr>
        <w:t>reporting do not distinguish patients by payer source</w:t>
      </w:r>
      <w:r w:rsidR="00D2670D">
        <w:rPr>
          <w:rFonts w:ascii="Times New Roman" w:hAnsi="Times New Roman"/>
        </w:rPr>
        <w:t xml:space="preserve">. The Medicare cost report does require delineation by Medicare and “Other,” but cost calculations </w:t>
      </w:r>
      <w:r w:rsidR="004D5512">
        <w:rPr>
          <w:rFonts w:ascii="Times New Roman" w:hAnsi="Times New Roman"/>
        </w:rPr>
        <w:t>blend all costs without regard to</w:t>
      </w:r>
      <w:r w:rsidR="00D2670D">
        <w:rPr>
          <w:rFonts w:ascii="Times New Roman" w:hAnsi="Times New Roman"/>
        </w:rPr>
        <w:t xml:space="preserve"> payer source</w:t>
      </w:r>
      <w:r w:rsidR="00150236">
        <w:rPr>
          <w:rFonts w:ascii="Times New Roman" w:hAnsi="Times New Roman"/>
        </w:rPr>
        <w:t xml:space="preserve">. </w:t>
      </w:r>
    </w:p>
    <w:p w14:paraId="2A4353E6" w14:textId="77777777" w:rsidR="00150236" w:rsidRDefault="00150236" w:rsidP="000A21A4">
      <w:pPr>
        <w:rPr>
          <w:rFonts w:ascii="Times New Roman" w:hAnsi="Times New Roman"/>
        </w:rPr>
      </w:pPr>
    </w:p>
    <w:p w14:paraId="006F5328" w14:textId="7AD8438F" w:rsidR="00E25817" w:rsidRDefault="00D90D62" w:rsidP="00AB1332">
      <w:pPr>
        <w:ind w:firstLine="360"/>
        <w:rPr>
          <w:rFonts w:ascii="Times New Roman" w:hAnsi="Times New Roman"/>
        </w:rPr>
      </w:pPr>
      <w:r>
        <w:rPr>
          <w:rFonts w:ascii="Times New Roman" w:hAnsi="Times New Roman"/>
        </w:rPr>
        <w:t>T</w:t>
      </w:r>
      <w:r w:rsidR="00962614">
        <w:rPr>
          <w:rFonts w:ascii="Times New Roman" w:hAnsi="Times New Roman"/>
        </w:rPr>
        <w:t>he</w:t>
      </w:r>
      <w:r>
        <w:rPr>
          <w:rFonts w:ascii="Times New Roman" w:hAnsi="Times New Roman"/>
        </w:rPr>
        <w:t xml:space="preserve"> ALLIANCE</w:t>
      </w:r>
      <w:r w:rsidR="00150236">
        <w:rPr>
          <w:rFonts w:ascii="Times New Roman" w:hAnsi="Times New Roman"/>
        </w:rPr>
        <w:t xml:space="preserve"> recognizes that, based on cost report data and inputs from </w:t>
      </w:r>
      <w:r>
        <w:rPr>
          <w:rFonts w:ascii="Times New Roman" w:hAnsi="Times New Roman"/>
        </w:rPr>
        <w:t>T</w:t>
      </w:r>
      <w:r w:rsidR="00962614">
        <w:rPr>
          <w:rFonts w:ascii="Times New Roman" w:hAnsi="Times New Roman"/>
        </w:rPr>
        <w:t>he</w:t>
      </w:r>
      <w:r>
        <w:rPr>
          <w:rFonts w:ascii="Times New Roman" w:hAnsi="Times New Roman"/>
        </w:rPr>
        <w:t xml:space="preserve"> ALLIANCE</w:t>
      </w:r>
      <w:r w:rsidR="00150236">
        <w:rPr>
          <w:rFonts w:ascii="Times New Roman" w:hAnsi="Times New Roman"/>
        </w:rPr>
        <w:t xml:space="preserve"> members, traditional Medicare payments may </w:t>
      </w:r>
      <w:r w:rsidR="009E1C22">
        <w:rPr>
          <w:rFonts w:ascii="Times New Roman" w:hAnsi="Times New Roman"/>
        </w:rPr>
        <w:t>subsidize</w:t>
      </w:r>
      <w:r w:rsidR="00061C8B">
        <w:rPr>
          <w:rFonts w:ascii="Times New Roman" w:hAnsi="Times New Roman"/>
        </w:rPr>
        <w:t xml:space="preserve"> other payers such as Medicare Advantage or Medicaid. In some respects that is the reality that HHAs must deal with</w:t>
      </w:r>
      <w:r w:rsidR="00E76E32">
        <w:rPr>
          <w:rFonts w:ascii="Times New Roman" w:hAnsi="Times New Roman"/>
        </w:rPr>
        <w:t xml:space="preserve"> every year. In other respects, </w:t>
      </w:r>
      <w:r w:rsidR="001666C9">
        <w:rPr>
          <w:rFonts w:ascii="Times New Roman" w:hAnsi="Times New Roman"/>
        </w:rPr>
        <w:t>which</w:t>
      </w:r>
      <w:r w:rsidR="00E76E32">
        <w:rPr>
          <w:rFonts w:ascii="Times New Roman" w:hAnsi="Times New Roman"/>
        </w:rPr>
        <w:t xml:space="preserve"> may be a creature of cost reporting weaknesses</w:t>
      </w:r>
      <w:r w:rsidR="00F84033">
        <w:rPr>
          <w:rFonts w:ascii="Times New Roman" w:hAnsi="Times New Roman"/>
        </w:rPr>
        <w:t xml:space="preserve">. </w:t>
      </w:r>
      <w:r w:rsidR="0071581C">
        <w:rPr>
          <w:rFonts w:ascii="Times New Roman" w:hAnsi="Times New Roman"/>
        </w:rPr>
        <w:t xml:space="preserve">Either way, HHAs </w:t>
      </w:r>
      <w:r w:rsidR="002E634E">
        <w:rPr>
          <w:rFonts w:ascii="Times New Roman" w:hAnsi="Times New Roman"/>
        </w:rPr>
        <w:t>operate as an HHA, not a Medicare Fe</w:t>
      </w:r>
      <w:r w:rsidR="00644FE5">
        <w:rPr>
          <w:rFonts w:ascii="Times New Roman" w:hAnsi="Times New Roman"/>
        </w:rPr>
        <w:t>e-</w:t>
      </w:r>
      <w:r w:rsidR="002E634E">
        <w:rPr>
          <w:rFonts w:ascii="Times New Roman" w:hAnsi="Times New Roman"/>
        </w:rPr>
        <w:t>for</w:t>
      </w:r>
      <w:r w:rsidR="008B7899">
        <w:rPr>
          <w:rFonts w:ascii="Times New Roman" w:hAnsi="Times New Roman"/>
        </w:rPr>
        <w:t>-</w:t>
      </w:r>
      <w:r w:rsidR="002E634E">
        <w:rPr>
          <w:rFonts w:ascii="Times New Roman" w:hAnsi="Times New Roman"/>
        </w:rPr>
        <w:t xml:space="preserve">Service HHA. It is not unusual for one payer’s revenue to be needed to subsize a shortfall from another payer. </w:t>
      </w:r>
    </w:p>
    <w:p w14:paraId="2BE1B42D" w14:textId="77777777" w:rsidR="00E25817" w:rsidRDefault="00E25817" w:rsidP="000A21A4">
      <w:pPr>
        <w:rPr>
          <w:rFonts w:ascii="Times New Roman" w:hAnsi="Times New Roman"/>
        </w:rPr>
      </w:pPr>
    </w:p>
    <w:p w14:paraId="427A0F33" w14:textId="176B613B" w:rsidR="00AD3964" w:rsidRDefault="00E25817" w:rsidP="00AB1332">
      <w:pPr>
        <w:ind w:firstLine="360"/>
        <w:rPr>
          <w:rFonts w:ascii="Times New Roman" w:hAnsi="Times New Roman"/>
        </w:rPr>
      </w:pPr>
      <w:r>
        <w:rPr>
          <w:rFonts w:ascii="Times New Roman" w:hAnsi="Times New Roman"/>
        </w:rPr>
        <w:t>While it may not be the best Medicare payment policy</w:t>
      </w:r>
      <w:r w:rsidR="00377ED4">
        <w:rPr>
          <w:rFonts w:ascii="Times New Roman" w:hAnsi="Times New Roman"/>
        </w:rPr>
        <w:t xml:space="preserve">, currently it must be recognized as a central impacting feature of the financial status of HHAs. Changing payment rates in traditional Medicare has a ripple effect on the entire patient population of an HHA. That is particularly the case when the other payers </w:t>
      </w:r>
      <w:r w:rsidR="00043BE7">
        <w:rPr>
          <w:rFonts w:ascii="Times New Roman" w:hAnsi="Times New Roman"/>
        </w:rPr>
        <w:t>are highly unlikely to step up and improve their payment rates as we have here in home health with Medicare Advantage and Medicaid</w:t>
      </w:r>
      <w:r w:rsidR="0076544E">
        <w:rPr>
          <w:rFonts w:ascii="Times New Roman" w:hAnsi="Times New Roman"/>
        </w:rPr>
        <w:t xml:space="preserve">, both having rate setting power that is sanctioned by CMS. </w:t>
      </w:r>
      <w:r w:rsidR="006F2740">
        <w:rPr>
          <w:rFonts w:ascii="Times New Roman" w:hAnsi="Times New Roman"/>
        </w:rPr>
        <w:t xml:space="preserve">Accordingly, CMS must recognize the need to apply its discretion on the application of PDGM permanent adjustments </w:t>
      </w:r>
      <w:r w:rsidR="00955B0E">
        <w:rPr>
          <w:rFonts w:ascii="Times New Roman" w:hAnsi="Times New Roman"/>
        </w:rPr>
        <w:t>taking into consideration the overall impact of rate cut</w:t>
      </w:r>
      <w:r w:rsidR="003C5697">
        <w:rPr>
          <w:rFonts w:ascii="Times New Roman" w:hAnsi="Times New Roman"/>
        </w:rPr>
        <w:t>s</w:t>
      </w:r>
      <w:r w:rsidR="00955B0E">
        <w:rPr>
          <w:rFonts w:ascii="Times New Roman" w:hAnsi="Times New Roman"/>
        </w:rPr>
        <w:t xml:space="preserve"> on the ability of HHAs to maintain full access to care. </w:t>
      </w:r>
      <w:r w:rsidR="003C5697">
        <w:rPr>
          <w:rFonts w:ascii="Times New Roman" w:hAnsi="Times New Roman"/>
        </w:rPr>
        <w:t>Here the proposed rate cuts are clearly highly disruptive in re</w:t>
      </w:r>
      <w:r w:rsidR="00FC554E">
        <w:rPr>
          <w:rFonts w:ascii="Times New Roman" w:hAnsi="Times New Roman"/>
        </w:rPr>
        <w:t>la</w:t>
      </w:r>
      <w:r w:rsidR="003C5697">
        <w:rPr>
          <w:rFonts w:ascii="Times New Roman" w:hAnsi="Times New Roman"/>
        </w:rPr>
        <w:t xml:space="preserve">tion to </w:t>
      </w:r>
      <w:r w:rsidR="00FC554E">
        <w:rPr>
          <w:rFonts w:ascii="Times New Roman" w:hAnsi="Times New Roman"/>
        </w:rPr>
        <w:t xml:space="preserve">continued </w:t>
      </w:r>
      <w:r w:rsidR="003C5697">
        <w:rPr>
          <w:rFonts w:ascii="Times New Roman" w:hAnsi="Times New Roman"/>
        </w:rPr>
        <w:t>care access.</w:t>
      </w:r>
      <w:r w:rsidR="00FC554E">
        <w:rPr>
          <w:rFonts w:ascii="Times New Roman" w:hAnsi="Times New Roman"/>
        </w:rPr>
        <w:t xml:space="preserve"> The “</w:t>
      </w:r>
      <w:r w:rsidR="008B7899">
        <w:rPr>
          <w:rFonts w:ascii="Times New Roman" w:hAnsi="Times New Roman"/>
        </w:rPr>
        <w:t>O</w:t>
      </w:r>
      <w:r w:rsidR="00FC554E">
        <w:rPr>
          <w:rFonts w:ascii="Times New Roman" w:hAnsi="Times New Roman"/>
        </w:rPr>
        <w:t>verall Margins” of HHAs, as discussed below, demonst</w:t>
      </w:r>
      <w:r w:rsidR="003A7F8D">
        <w:rPr>
          <w:rFonts w:ascii="Times New Roman" w:hAnsi="Times New Roman"/>
        </w:rPr>
        <w:t>rate</w:t>
      </w:r>
      <w:r w:rsidR="00823315">
        <w:rPr>
          <w:rFonts w:ascii="Times New Roman" w:hAnsi="Times New Roman"/>
        </w:rPr>
        <w:t>s</w:t>
      </w:r>
      <w:r w:rsidR="003A7F8D">
        <w:rPr>
          <w:rFonts w:ascii="Times New Roman" w:hAnsi="Times New Roman"/>
        </w:rPr>
        <w:t xml:space="preserve"> that </w:t>
      </w:r>
      <w:r w:rsidR="00294627">
        <w:rPr>
          <w:rFonts w:ascii="Times New Roman" w:hAnsi="Times New Roman"/>
        </w:rPr>
        <w:t>th</w:t>
      </w:r>
      <w:r w:rsidR="003A7F8D">
        <w:rPr>
          <w:rFonts w:ascii="Times New Roman" w:hAnsi="Times New Roman"/>
        </w:rPr>
        <w:t xml:space="preserve">e level of disruption is </w:t>
      </w:r>
      <w:r w:rsidR="00294627">
        <w:rPr>
          <w:rFonts w:ascii="Times New Roman" w:hAnsi="Times New Roman"/>
        </w:rPr>
        <w:t>monumental</w:t>
      </w:r>
      <w:r w:rsidR="00CE6883">
        <w:rPr>
          <w:rFonts w:ascii="Times New Roman" w:hAnsi="Times New Roman"/>
        </w:rPr>
        <w:t xml:space="preserve">. </w:t>
      </w:r>
    </w:p>
    <w:p w14:paraId="48BD1D11" w14:textId="77777777" w:rsidR="00ED410B" w:rsidRDefault="00ED410B" w:rsidP="000A21A4">
      <w:pPr>
        <w:rPr>
          <w:rFonts w:ascii="Times New Roman" w:hAnsi="Times New Roman"/>
        </w:rPr>
      </w:pPr>
    </w:p>
    <w:p w14:paraId="151BD03C" w14:textId="184FBB3A" w:rsidR="00ED410B" w:rsidRDefault="00ED410B" w:rsidP="00AB1332">
      <w:pPr>
        <w:ind w:firstLine="360"/>
        <w:rPr>
          <w:rFonts w:ascii="Times New Roman" w:hAnsi="Times New Roman"/>
        </w:rPr>
      </w:pPr>
      <w:r>
        <w:rPr>
          <w:rFonts w:ascii="Times New Roman" w:hAnsi="Times New Roman"/>
        </w:rPr>
        <w:lastRenderedPageBreak/>
        <w:t xml:space="preserve">The projected </w:t>
      </w:r>
      <w:r w:rsidR="00EF3A3D">
        <w:rPr>
          <w:rFonts w:ascii="Times New Roman" w:hAnsi="Times New Roman"/>
        </w:rPr>
        <w:t xml:space="preserve">national </w:t>
      </w:r>
      <w:r>
        <w:rPr>
          <w:rFonts w:ascii="Times New Roman" w:hAnsi="Times New Roman"/>
        </w:rPr>
        <w:t>Overall Margin for 2024 with the proposed base rate cut</w:t>
      </w:r>
      <w:r w:rsidR="00EF3A3D">
        <w:rPr>
          <w:rFonts w:ascii="Times New Roman" w:hAnsi="Times New Roman"/>
        </w:rPr>
        <w:t xml:space="preserve"> would show that 52.7% of freestanding HHAs would be “underwater” with overall margins below 0%</w:t>
      </w:r>
      <w:r w:rsidR="00C9352E">
        <w:rPr>
          <w:rFonts w:ascii="Times New Roman" w:hAnsi="Times New Roman"/>
        </w:rPr>
        <w:t xml:space="preserve"> assuming </w:t>
      </w:r>
      <w:r w:rsidR="00976215">
        <w:rPr>
          <w:rFonts w:ascii="Times New Roman" w:hAnsi="Times New Roman"/>
        </w:rPr>
        <w:t>no</w:t>
      </w:r>
      <w:r w:rsidR="00C9352E">
        <w:rPr>
          <w:rFonts w:ascii="Times New Roman" w:hAnsi="Times New Roman"/>
        </w:rPr>
        <w:t xml:space="preserve"> change in costs compared to 2022. The analysis is limited to freestanding HHAs due to the unavailability of such data from cost reports submitted by </w:t>
      </w:r>
      <w:r w:rsidR="00976215">
        <w:rPr>
          <w:rFonts w:ascii="Times New Roman" w:hAnsi="Times New Roman"/>
        </w:rPr>
        <w:t>institution based</w:t>
      </w:r>
      <w:r w:rsidR="00C9352E">
        <w:rPr>
          <w:rFonts w:ascii="Times New Roman" w:hAnsi="Times New Roman"/>
        </w:rPr>
        <w:t xml:space="preserve"> HHAs. </w:t>
      </w:r>
      <w:r w:rsidR="00774A01">
        <w:rPr>
          <w:rFonts w:ascii="Times New Roman" w:hAnsi="Times New Roman"/>
        </w:rPr>
        <w:t>However, it can be sa</w:t>
      </w:r>
      <w:r w:rsidR="00151E35">
        <w:rPr>
          <w:rFonts w:ascii="Times New Roman" w:hAnsi="Times New Roman"/>
        </w:rPr>
        <w:t>f</w:t>
      </w:r>
      <w:r w:rsidR="00774A01">
        <w:rPr>
          <w:rFonts w:ascii="Times New Roman" w:hAnsi="Times New Roman"/>
        </w:rPr>
        <w:t>ely assumed that the percentage would increase if thos</w:t>
      </w:r>
      <w:r w:rsidR="00D862D8">
        <w:rPr>
          <w:rFonts w:ascii="Times New Roman" w:hAnsi="Times New Roman"/>
        </w:rPr>
        <w:t>e HHAs were capable of being included since the Medicare-re</w:t>
      </w:r>
      <w:r w:rsidR="005B3905">
        <w:rPr>
          <w:rFonts w:ascii="Times New Roman" w:hAnsi="Times New Roman"/>
        </w:rPr>
        <w:t>l</w:t>
      </w:r>
      <w:r w:rsidR="00D862D8">
        <w:rPr>
          <w:rFonts w:ascii="Times New Roman" w:hAnsi="Times New Roman"/>
        </w:rPr>
        <w:t xml:space="preserve">ated margins tend to be </w:t>
      </w:r>
      <w:r w:rsidR="005B3905">
        <w:rPr>
          <w:rFonts w:ascii="Times New Roman" w:hAnsi="Times New Roman"/>
        </w:rPr>
        <w:t>lower than freestanding HHAs as a starting point</w:t>
      </w:r>
      <w:r w:rsidR="00CE6883">
        <w:rPr>
          <w:rFonts w:ascii="Times New Roman" w:hAnsi="Times New Roman"/>
        </w:rPr>
        <w:t xml:space="preserve">. </w:t>
      </w:r>
    </w:p>
    <w:p w14:paraId="044A9F87" w14:textId="77777777" w:rsidR="00264713" w:rsidRDefault="00264713" w:rsidP="000A21A4">
      <w:pPr>
        <w:rPr>
          <w:rFonts w:ascii="Times New Roman" w:hAnsi="Times New Roman"/>
        </w:rPr>
      </w:pPr>
    </w:p>
    <w:p w14:paraId="73140E14" w14:textId="38125E7A" w:rsidR="00264713" w:rsidRDefault="00264713" w:rsidP="00AB1332">
      <w:pPr>
        <w:ind w:firstLine="360"/>
        <w:rPr>
          <w:rFonts w:ascii="Times New Roman" w:hAnsi="Times New Roman"/>
        </w:rPr>
      </w:pPr>
      <w:r>
        <w:rPr>
          <w:rFonts w:ascii="Times New Roman" w:hAnsi="Times New Roman"/>
        </w:rPr>
        <w:t xml:space="preserve">These data depict </w:t>
      </w:r>
      <w:r w:rsidR="00C850EB">
        <w:rPr>
          <w:rFonts w:ascii="Times New Roman" w:hAnsi="Times New Roman"/>
        </w:rPr>
        <w:t>a substantial risk</w:t>
      </w:r>
      <w:r>
        <w:rPr>
          <w:rFonts w:ascii="Times New Roman" w:hAnsi="Times New Roman"/>
        </w:rPr>
        <w:t xml:space="preserve"> that a majority </w:t>
      </w:r>
      <w:r w:rsidR="004759F1">
        <w:rPr>
          <w:rFonts w:ascii="Times New Roman" w:hAnsi="Times New Roman"/>
        </w:rPr>
        <w:t>of</w:t>
      </w:r>
      <w:r>
        <w:rPr>
          <w:rFonts w:ascii="Times New Roman" w:hAnsi="Times New Roman"/>
        </w:rPr>
        <w:t xml:space="preserve"> HHAs would be in jeopardy of bankruptc</w:t>
      </w:r>
      <w:r w:rsidR="004759F1">
        <w:rPr>
          <w:rFonts w:ascii="Times New Roman" w:hAnsi="Times New Roman"/>
        </w:rPr>
        <w:t xml:space="preserve">y or closure with the proposed rate cut. Those HHAs’ options to </w:t>
      </w:r>
      <w:r w:rsidR="00DD2041">
        <w:rPr>
          <w:rFonts w:ascii="Times New Roman" w:hAnsi="Times New Roman"/>
        </w:rPr>
        <w:t>avoid that risk are highly limited, none of which would be good for the patient population and most have already been employed with the CY2023 rate cut</w:t>
      </w:r>
      <w:r w:rsidR="00AE1A5F">
        <w:rPr>
          <w:rFonts w:ascii="Times New Roman" w:hAnsi="Times New Roman"/>
        </w:rPr>
        <w:t>. Those options include:</w:t>
      </w:r>
    </w:p>
    <w:p w14:paraId="2AF6DF90" w14:textId="77777777" w:rsidR="008A5E7E" w:rsidRDefault="008A5E7E" w:rsidP="00AB1332">
      <w:pPr>
        <w:ind w:firstLine="360"/>
        <w:rPr>
          <w:rFonts w:ascii="Times New Roman" w:hAnsi="Times New Roman"/>
        </w:rPr>
      </w:pPr>
    </w:p>
    <w:p w14:paraId="314E42B8" w14:textId="05502636" w:rsidR="00AE1A5F" w:rsidRDefault="00AE1A5F" w:rsidP="00AE1A5F">
      <w:pPr>
        <w:pStyle w:val="ListParagraph"/>
        <w:numPr>
          <w:ilvl w:val="0"/>
          <w:numId w:val="2"/>
        </w:numPr>
        <w:rPr>
          <w:rFonts w:ascii="Times New Roman" w:hAnsi="Times New Roman"/>
        </w:rPr>
      </w:pPr>
      <w:r>
        <w:rPr>
          <w:rFonts w:ascii="Times New Roman" w:hAnsi="Times New Roman"/>
        </w:rPr>
        <w:t xml:space="preserve">Reducing the volume of visits in the episode of care. </w:t>
      </w:r>
      <w:r w:rsidR="005F6F4B">
        <w:rPr>
          <w:rFonts w:ascii="Times New Roman" w:hAnsi="Times New Roman"/>
        </w:rPr>
        <w:t>More</w:t>
      </w:r>
      <w:r w:rsidR="00BB04D0">
        <w:rPr>
          <w:rFonts w:ascii="Times New Roman" w:hAnsi="Times New Roman"/>
        </w:rPr>
        <w:t xml:space="preserve"> than a full visit reduction on average would be need</w:t>
      </w:r>
      <w:r w:rsidR="009B49BE">
        <w:rPr>
          <w:rFonts w:ascii="Times New Roman" w:hAnsi="Times New Roman"/>
        </w:rPr>
        <w:t>ed</w:t>
      </w:r>
      <w:r w:rsidR="00BB04D0">
        <w:rPr>
          <w:rFonts w:ascii="Times New Roman" w:hAnsi="Times New Roman"/>
        </w:rPr>
        <w:t xml:space="preserve"> to stay</w:t>
      </w:r>
      <w:r w:rsidR="009B49BE">
        <w:rPr>
          <w:rFonts w:ascii="Times New Roman" w:hAnsi="Times New Roman"/>
        </w:rPr>
        <w:t xml:space="preserve"> financially even.</w:t>
      </w:r>
    </w:p>
    <w:p w14:paraId="17A56FA7" w14:textId="2D3D4C67" w:rsidR="00C22E80" w:rsidRDefault="009B49BE" w:rsidP="00AE1A5F">
      <w:pPr>
        <w:pStyle w:val="ListParagraph"/>
        <w:numPr>
          <w:ilvl w:val="0"/>
          <w:numId w:val="2"/>
        </w:numPr>
        <w:rPr>
          <w:rFonts w:ascii="Times New Roman" w:hAnsi="Times New Roman"/>
        </w:rPr>
      </w:pPr>
      <w:r>
        <w:rPr>
          <w:rFonts w:ascii="Times New Roman" w:hAnsi="Times New Roman"/>
        </w:rPr>
        <w:t xml:space="preserve">Reducing costs by narrowing the </w:t>
      </w:r>
      <w:r w:rsidR="00951A36">
        <w:rPr>
          <w:rFonts w:ascii="Times New Roman" w:hAnsi="Times New Roman"/>
        </w:rPr>
        <w:t xml:space="preserve">geographic </w:t>
      </w:r>
      <w:r>
        <w:rPr>
          <w:rFonts w:ascii="Times New Roman" w:hAnsi="Times New Roman"/>
        </w:rPr>
        <w:t>scope</w:t>
      </w:r>
      <w:r w:rsidR="00951A36">
        <w:rPr>
          <w:rFonts w:ascii="Times New Roman" w:hAnsi="Times New Roman"/>
        </w:rPr>
        <w:t xml:space="preserve"> of the service area to reduce travel time between visits or the need for a branch office. That</w:t>
      </w:r>
      <w:r w:rsidR="00B16F01">
        <w:rPr>
          <w:rFonts w:ascii="Times New Roman" w:hAnsi="Times New Roman"/>
        </w:rPr>
        <w:t xml:space="preserve"> action would effectively “close” the provider for a portion of </w:t>
      </w:r>
      <w:r w:rsidR="00701F49">
        <w:rPr>
          <w:rFonts w:ascii="Times New Roman" w:hAnsi="Times New Roman"/>
        </w:rPr>
        <w:t>previously served</w:t>
      </w:r>
      <w:r w:rsidR="00B16F01">
        <w:rPr>
          <w:rFonts w:ascii="Times New Roman" w:hAnsi="Times New Roman"/>
        </w:rPr>
        <w:t xml:space="preserve"> patients.</w:t>
      </w:r>
    </w:p>
    <w:p w14:paraId="5A2B0E18" w14:textId="77777777" w:rsidR="00AF5EA2" w:rsidRDefault="00C22E80" w:rsidP="00AE1A5F">
      <w:pPr>
        <w:pStyle w:val="ListParagraph"/>
        <w:numPr>
          <w:ilvl w:val="0"/>
          <w:numId w:val="2"/>
        </w:numPr>
        <w:rPr>
          <w:rFonts w:ascii="Times New Roman" w:hAnsi="Times New Roman"/>
        </w:rPr>
      </w:pPr>
      <w:r>
        <w:rPr>
          <w:rFonts w:ascii="Times New Roman" w:hAnsi="Times New Roman"/>
        </w:rPr>
        <w:t>Eliminate services to Medicare Advantage and Medicaid patients. This would require an HHA to address fixed and semi-variable costs that would remain through such a census reduction.</w:t>
      </w:r>
    </w:p>
    <w:p w14:paraId="58A6452C" w14:textId="77777777" w:rsidR="002D7359" w:rsidRDefault="00AF5EA2" w:rsidP="00AE1A5F">
      <w:pPr>
        <w:pStyle w:val="ListParagraph"/>
        <w:numPr>
          <w:ilvl w:val="0"/>
          <w:numId w:val="2"/>
        </w:numPr>
        <w:rPr>
          <w:rFonts w:ascii="Times New Roman" w:hAnsi="Times New Roman"/>
        </w:rPr>
      </w:pPr>
      <w:r>
        <w:rPr>
          <w:rFonts w:ascii="Times New Roman" w:hAnsi="Times New Roman"/>
        </w:rPr>
        <w:t xml:space="preserve">Refocus Medicare home health services on certain patient populations that would not trigger financial losses in a manner consistent with nondiscrimination requirements. </w:t>
      </w:r>
    </w:p>
    <w:p w14:paraId="2924AF5D" w14:textId="77777777" w:rsidR="002D7359" w:rsidRDefault="002D7359" w:rsidP="002D7359">
      <w:pPr>
        <w:rPr>
          <w:rFonts w:ascii="Times New Roman" w:hAnsi="Times New Roman"/>
        </w:rPr>
      </w:pPr>
    </w:p>
    <w:p w14:paraId="1CF7DA1F" w14:textId="77777777" w:rsidR="00701F49" w:rsidRDefault="00701F49" w:rsidP="002D7359">
      <w:pPr>
        <w:rPr>
          <w:rFonts w:ascii="Times New Roman" w:hAnsi="Times New Roman"/>
        </w:rPr>
      </w:pPr>
    </w:p>
    <w:p w14:paraId="68569530" w14:textId="77777777" w:rsidR="00701F49" w:rsidRDefault="00701F49" w:rsidP="002D7359">
      <w:pPr>
        <w:rPr>
          <w:rFonts w:ascii="Times New Roman" w:hAnsi="Times New Roman"/>
        </w:rPr>
      </w:pPr>
    </w:p>
    <w:p w14:paraId="62013EBF" w14:textId="0216EF4D" w:rsidR="009B49BE" w:rsidRDefault="002D7359" w:rsidP="00AB1332">
      <w:pPr>
        <w:ind w:firstLine="360"/>
        <w:rPr>
          <w:rFonts w:ascii="Times New Roman" w:hAnsi="Times New Roman"/>
        </w:rPr>
      </w:pPr>
      <w:r>
        <w:rPr>
          <w:rFonts w:ascii="Times New Roman" w:hAnsi="Times New Roman"/>
        </w:rPr>
        <w:t xml:space="preserve">Such changes in </w:t>
      </w:r>
      <w:r w:rsidR="00F171C9">
        <w:rPr>
          <w:rFonts w:ascii="Times New Roman" w:hAnsi="Times New Roman"/>
        </w:rPr>
        <w:t>service</w:t>
      </w:r>
      <w:r w:rsidR="00F171C9" w:rsidRPr="002D7359">
        <w:rPr>
          <w:rFonts w:ascii="Times New Roman" w:hAnsi="Times New Roman"/>
        </w:rPr>
        <w:t xml:space="preserve"> are</w:t>
      </w:r>
      <w:r>
        <w:rPr>
          <w:rFonts w:ascii="Times New Roman" w:hAnsi="Times New Roman"/>
        </w:rPr>
        <w:t xml:space="preserve"> easy to predict since </w:t>
      </w:r>
      <w:r w:rsidR="00A72788">
        <w:rPr>
          <w:rFonts w:ascii="Times New Roman" w:hAnsi="Times New Roman"/>
        </w:rPr>
        <w:t xml:space="preserve">they are already ongoing due to the initial 4.36% rate cut </w:t>
      </w:r>
      <w:r w:rsidR="00ED7C8C">
        <w:rPr>
          <w:rFonts w:ascii="Times New Roman" w:hAnsi="Times New Roman"/>
        </w:rPr>
        <w:t xml:space="preserve">at the start of PDGM, shortfalls triggered by inflation rate forecasting errors, and the </w:t>
      </w:r>
      <w:r w:rsidR="00226CC0">
        <w:rPr>
          <w:rFonts w:ascii="Times New Roman" w:hAnsi="Times New Roman"/>
        </w:rPr>
        <w:t>3.925% rate cut in 2023</w:t>
      </w:r>
      <w:r w:rsidR="00F84033">
        <w:rPr>
          <w:rFonts w:ascii="Times New Roman" w:hAnsi="Times New Roman"/>
        </w:rPr>
        <w:t xml:space="preserve">. </w:t>
      </w:r>
      <w:r w:rsidR="00C2636D">
        <w:rPr>
          <w:rFonts w:ascii="Times New Roman" w:hAnsi="Times New Roman"/>
        </w:rPr>
        <w:t>Compounding the risk is the 5.2% forecast error in 2021 and 2022 as it re</w:t>
      </w:r>
      <w:r w:rsidR="006D614B">
        <w:rPr>
          <w:rFonts w:ascii="Times New Roman" w:hAnsi="Times New Roman"/>
        </w:rPr>
        <w:t>lates</w:t>
      </w:r>
      <w:r w:rsidR="00C2636D">
        <w:rPr>
          <w:rFonts w:ascii="Times New Roman" w:hAnsi="Times New Roman"/>
        </w:rPr>
        <w:t xml:space="preserve"> to cost inflation and the resulting Market Basket Index (discussed further below)</w:t>
      </w:r>
      <w:r w:rsidR="00B80ED4">
        <w:rPr>
          <w:rFonts w:ascii="Times New Roman" w:hAnsi="Times New Roman"/>
        </w:rPr>
        <w:t xml:space="preserve">. </w:t>
      </w:r>
      <w:r w:rsidR="006D614B">
        <w:rPr>
          <w:rFonts w:ascii="Times New Roman" w:hAnsi="Times New Roman"/>
        </w:rPr>
        <w:t xml:space="preserve">The proposed </w:t>
      </w:r>
      <w:r w:rsidR="00571AA4">
        <w:rPr>
          <w:rFonts w:ascii="Times New Roman" w:hAnsi="Times New Roman"/>
        </w:rPr>
        <w:t>4.067</w:t>
      </w:r>
      <w:r w:rsidR="006D614B">
        <w:rPr>
          <w:rFonts w:ascii="Times New Roman" w:hAnsi="Times New Roman"/>
        </w:rPr>
        <w:t>% rate reduction</w:t>
      </w:r>
      <w:r w:rsidR="007A3A5D">
        <w:rPr>
          <w:rFonts w:ascii="Times New Roman" w:hAnsi="Times New Roman"/>
        </w:rPr>
        <w:t xml:space="preserve"> will send the overall financial status of HHAs into the world of closures, bankruptcies, and patient service</w:t>
      </w:r>
      <w:r w:rsidR="00C9410F">
        <w:rPr>
          <w:rFonts w:ascii="Times New Roman" w:hAnsi="Times New Roman"/>
        </w:rPr>
        <w:t xml:space="preserve"> roadblocks and reductions. </w:t>
      </w:r>
      <w:r w:rsidR="00F376EE">
        <w:rPr>
          <w:rFonts w:ascii="Times New Roman" w:hAnsi="Times New Roman"/>
        </w:rPr>
        <w:t xml:space="preserve">The data </w:t>
      </w:r>
      <w:r w:rsidR="00B646A5">
        <w:rPr>
          <w:rFonts w:ascii="Times New Roman" w:hAnsi="Times New Roman"/>
        </w:rPr>
        <w:t>earlier presented and as further set out</w:t>
      </w:r>
      <w:r w:rsidR="00776DA1">
        <w:rPr>
          <w:rFonts w:ascii="Times New Roman" w:hAnsi="Times New Roman"/>
        </w:rPr>
        <w:t xml:space="preserve"> </w:t>
      </w:r>
      <w:r w:rsidR="00F376EE">
        <w:rPr>
          <w:rFonts w:ascii="Times New Roman" w:hAnsi="Times New Roman"/>
        </w:rPr>
        <w:t xml:space="preserve">below shows that such </w:t>
      </w:r>
      <w:r w:rsidR="007C4563">
        <w:rPr>
          <w:rFonts w:ascii="Times New Roman" w:hAnsi="Times New Roman"/>
        </w:rPr>
        <w:t>a crisis</w:t>
      </w:r>
      <w:r w:rsidR="00F376EE">
        <w:rPr>
          <w:rFonts w:ascii="Times New Roman" w:hAnsi="Times New Roman"/>
        </w:rPr>
        <w:t xml:space="preserve"> </w:t>
      </w:r>
      <w:r w:rsidR="00571AA4">
        <w:rPr>
          <w:rFonts w:ascii="Times New Roman" w:hAnsi="Times New Roman"/>
        </w:rPr>
        <w:t>has</w:t>
      </w:r>
      <w:r w:rsidR="00B646A5">
        <w:rPr>
          <w:rFonts w:ascii="Times New Roman" w:hAnsi="Times New Roman"/>
        </w:rPr>
        <w:t xml:space="preserve"> begun and </w:t>
      </w:r>
      <w:r w:rsidR="00F376EE">
        <w:rPr>
          <w:rFonts w:ascii="Times New Roman" w:hAnsi="Times New Roman"/>
        </w:rPr>
        <w:t xml:space="preserve">will </w:t>
      </w:r>
      <w:r w:rsidR="00B646A5">
        <w:rPr>
          <w:rFonts w:ascii="Times New Roman" w:hAnsi="Times New Roman"/>
        </w:rPr>
        <w:t xml:space="preserve">continue to grow nationwide. </w:t>
      </w:r>
      <w:r w:rsidR="00F376EE">
        <w:rPr>
          <w:rFonts w:ascii="Times New Roman" w:hAnsi="Times New Roman"/>
        </w:rPr>
        <w:t xml:space="preserve">. </w:t>
      </w:r>
    </w:p>
    <w:p w14:paraId="7CE3C2B0" w14:textId="77777777" w:rsidR="007C4563" w:rsidRDefault="007C4563" w:rsidP="002D7359">
      <w:pPr>
        <w:rPr>
          <w:rFonts w:ascii="Times New Roman" w:hAnsi="Times New Roman"/>
        </w:rPr>
      </w:pPr>
    </w:p>
    <w:p w14:paraId="41A5204F" w14:textId="6656DF55" w:rsidR="007C4563" w:rsidRPr="002D7359" w:rsidRDefault="007C4563" w:rsidP="002D7359">
      <w:pPr>
        <w:rPr>
          <w:rFonts w:ascii="Times New Roman" w:hAnsi="Times New Roman"/>
        </w:rPr>
      </w:pPr>
      <w:r w:rsidRPr="007C4563">
        <w:rPr>
          <w:noProof/>
        </w:rPr>
        <w:lastRenderedPageBreak/>
        <w:drawing>
          <wp:inline distT="0" distB="0" distL="0" distR="0" wp14:anchorId="62B38C2F" wp14:editId="5A5E14F5">
            <wp:extent cx="4136390" cy="8229600"/>
            <wp:effectExtent l="0" t="0" r="0" b="0"/>
            <wp:docPr id="2072618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6390" cy="8229600"/>
                    </a:xfrm>
                    <a:prstGeom prst="rect">
                      <a:avLst/>
                    </a:prstGeom>
                    <a:noFill/>
                    <a:ln>
                      <a:noFill/>
                    </a:ln>
                  </pic:spPr>
                </pic:pic>
              </a:graphicData>
            </a:graphic>
          </wp:inline>
        </w:drawing>
      </w:r>
    </w:p>
    <w:p w14:paraId="18630D6B" w14:textId="7FE31877" w:rsidR="00251C41" w:rsidRDefault="007C4563" w:rsidP="000A21A4">
      <w:pPr>
        <w:rPr>
          <w:rFonts w:ascii="Times New Roman" w:hAnsi="Times New Roman"/>
        </w:rPr>
      </w:pPr>
      <w:r>
        <w:rPr>
          <w:rFonts w:ascii="Times New Roman" w:hAnsi="Times New Roman"/>
        </w:rPr>
        <w:lastRenderedPageBreak/>
        <w:t xml:space="preserve">Source: </w:t>
      </w:r>
      <w:r w:rsidR="00066D3F">
        <w:rPr>
          <w:rFonts w:ascii="Times New Roman" w:hAnsi="Times New Roman"/>
        </w:rPr>
        <w:t xml:space="preserve">FYE12/31/2022 Freestanding HHA cost reports, </w:t>
      </w:r>
      <w:hyperlink r:id="rId21" w:history="1">
        <w:r w:rsidR="00066D3F" w:rsidRPr="006405D4">
          <w:rPr>
            <w:rStyle w:val="Hyperlink"/>
            <w:rFonts w:ascii="Times New Roman" w:hAnsi="Times New Roman"/>
          </w:rPr>
          <w:t>https://www.cms.gov/research-statistics-data-and-systems/downloadable-public-use-files/cost-reports/cost-reports-by-fiscal-year</w:t>
        </w:r>
      </w:hyperlink>
      <w:r w:rsidR="00066D3F">
        <w:rPr>
          <w:rFonts w:ascii="Times New Roman" w:hAnsi="Times New Roman"/>
        </w:rPr>
        <w:t xml:space="preserve">. </w:t>
      </w:r>
      <w:r w:rsidR="0025223B">
        <w:rPr>
          <w:rFonts w:ascii="Times New Roman" w:hAnsi="Times New Roman"/>
        </w:rPr>
        <w:t>The forecast is based on 2022 data trended forward with the 9.36% base rate cut</w:t>
      </w:r>
      <w:r w:rsidR="00F56324">
        <w:rPr>
          <w:rFonts w:ascii="Times New Roman" w:hAnsi="Times New Roman"/>
        </w:rPr>
        <w:t xml:space="preserve">s in 2023 and proposed for 2024 without regard to any cost changes that are greater than the 2023 MBI and proposed 2024 MBI. </w:t>
      </w:r>
      <w:r w:rsidR="006351AD">
        <w:rPr>
          <w:rFonts w:ascii="Times New Roman" w:hAnsi="Times New Roman"/>
        </w:rPr>
        <w:t xml:space="preserve">If cost to revenue changes were considered, it is expected that the number of </w:t>
      </w:r>
      <w:r w:rsidR="009C6F6B">
        <w:rPr>
          <w:rFonts w:ascii="Times New Roman" w:hAnsi="Times New Roman"/>
        </w:rPr>
        <w:t>HHAs with overall margins below zero would increase.</w:t>
      </w:r>
    </w:p>
    <w:p w14:paraId="18240C2A" w14:textId="77777777" w:rsidR="00214ED3" w:rsidRDefault="00214ED3" w:rsidP="000A21A4">
      <w:pPr>
        <w:rPr>
          <w:rFonts w:ascii="Times New Roman" w:hAnsi="Times New Roman"/>
        </w:rPr>
      </w:pPr>
    </w:p>
    <w:p w14:paraId="484E6B92" w14:textId="77777777" w:rsidR="00214ED3" w:rsidRDefault="00214ED3" w:rsidP="000A21A4">
      <w:pPr>
        <w:rPr>
          <w:rFonts w:ascii="Times New Roman" w:hAnsi="Times New Roman"/>
        </w:rPr>
      </w:pPr>
    </w:p>
    <w:p w14:paraId="1FE7882B" w14:textId="647B2A30" w:rsidR="00214ED3" w:rsidRDefault="005F6F4B" w:rsidP="00AB1332">
      <w:pPr>
        <w:ind w:firstLine="720"/>
        <w:rPr>
          <w:rFonts w:ascii="Times New Roman" w:hAnsi="Times New Roman"/>
        </w:rPr>
      </w:pPr>
      <w:r>
        <w:rPr>
          <w:rFonts w:ascii="Times New Roman" w:hAnsi="Times New Roman"/>
        </w:rPr>
        <w:t>Most</w:t>
      </w:r>
      <w:r w:rsidR="00214ED3">
        <w:rPr>
          <w:rFonts w:ascii="Times New Roman" w:hAnsi="Times New Roman"/>
        </w:rPr>
        <w:t xml:space="preserve"> state</w:t>
      </w:r>
      <w:r>
        <w:rPr>
          <w:rFonts w:ascii="Times New Roman" w:hAnsi="Times New Roman"/>
        </w:rPr>
        <w:t>s are</w:t>
      </w:r>
      <w:r w:rsidR="00214ED3">
        <w:rPr>
          <w:rFonts w:ascii="Times New Roman" w:hAnsi="Times New Roman"/>
        </w:rPr>
        <w:t xml:space="preserve"> </w:t>
      </w:r>
      <w:r w:rsidR="000F34CB">
        <w:rPr>
          <w:rFonts w:ascii="Times New Roman" w:hAnsi="Times New Roman"/>
        </w:rPr>
        <w:t xml:space="preserve">already </w:t>
      </w:r>
      <w:r w:rsidR="00214ED3">
        <w:rPr>
          <w:rFonts w:ascii="Times New Roman" w:hAnsi="Times New Roman"/>
        </w:rPr>
        <w:t xml:space="preserve">in trouble with the </w:t>
      </w:r>
      <w:r w:rsidR="000F34CB">
        <w:rPr>
          <w:rFonts w:ascii="Times New Roman" w:hAnsi="Times New Roman"/>
        </w:rPr>
        <w:t>existing</w:t>
      </w:r>
      <w:r w:rsidR="00214ED3">
        <w:rPr>
          <w:rFonts w:ascii="Times New Roman" w:hAnsi="Times New Roman"/>
        </w:rPr>
        <w:t xml:space="preserve"> 2024 rate cut.</w:t>
      </w:r>
      <w:r w:rsidR="000F34CB">
        <w:rPr>
          <w:rFonts w:ascii="Times New Roman" w:hAnsi="Times New Roman"/>
        </w:rPr>
        <w:t xml:space="preserve"> Extending a further cut of 4.067% in 2025</w:t>
      </w:r>
      <w:r w:rsidR="002C2722">
        <w:rPr>
          <w:rFonts w:ascii="Times New Roman" w:hAnsi="Times New Roman"/>
        </w:rPr>
        <w:t xml:space="preserve"> is bound to accelerate the decline in care access.</w:t>
      </w:r>
      <w:r w:rsidR="00214ED3">
        <w:rPr>
          <w:rFonts w:ascii="Times New Roman" w:hAnsi="Times New Roman"/>
        </w:rPr>
        <w:t xml:space="preserve"> </w:t>
      </w:r>
      <w:r w:rsidR="002C2722">
        <w:rPr>
          <w:rFonts w:ascii="Times New Roman" w:hAnsi="Times New Roman"/>
        </w:rPr>
        <w:t>M</w:t>
      </w:r>
      <w:r w:rsidR="0090757A">
        <w:rPr>
          <w:rFonts w:ascii="Times New Roman" w:hAnsi="Times New Roman"/>
        </w:rPr>
        <w:t>ost</w:t>
      </w:r>
      <w:r w:rsidR="008B7601">
        <w:rPr>
          <w:rFonts w:ascii="Times New Roman" w:hAnsi="Times New Roman"/>
        </w:rPr>
        <w:t xml:space="preserve"> geographic areas within each state are at risk of losing </w:t>
      </w:r>
      <w:r w:rsidR="003268E9">
        <w:rPr>
          <w:rFonts w:ascii="Times New Roman" w:hAnsi="Times New Roman"/>
        </w:rPr>
        <w:t xml:space="preserve">HHAs. In </w:t>
      </w:r>
      <w:r w:rsidR="0090757A">
        <w:rPr>
          <w:rFonts w:ascii="Times New Roman" w:hAnsi="Times New Roman"/>
        </w:rPr>
        <w:t xml:space="preserve">some </w:t>
      </w:r>
      <w:r w:rsidR="003268E9">
        <w:rPr>
          <w:rFonts w:ascii="Times New Roman" w:hAnsi="Times New Roman"/>
        </w:rPr>
        <w:t>areas, all HHAs are forecast to be faced with a negative net financial margin.</w:t>
      </w:r>
      <w:r>
        <w:rPr>
          <w:rFonts w:ascii="Times New Roman" w:hAnsi="Times New Roman"/>
        </w:rPr>
        <w:t xml:space="preserve"> </w:t>
      </w:r>
      <w:r w:rsidR="00F444AF">
        <w:rPr>
          <w:rFonts w:ascii="Times New Roman" w:hAnsi="Times New Roman"/>
        </w:rPr>
        <w:t xml:space="preserve">The risk to access to care for Medicare beneficiaries and all others that need home health services is acute and undeniable. </w:t>
      </w:r>
      <w:r w:rsidR="00BB2897">
        <w:rPr>
          <w:rFonts w:ascii="Times New Roman" w:hAnsi="Times New Roman"/>
        </w:rPr>
        <w:t xml:space="preserve">CMS cannot let that happen. </w:t>
      </w:r>
    </w:p>
    <w:p w14:paraId="30E4F39C" w14:textId="77777777" w:rsidR="00251C41" w:rsidRDefault="00251C41" w:rsidP="000A21A4">
      <w:pPr>
        <w:rPr>
          <w:rFonts w:ascii="Times New Roman" w:hAnsi="Times New Roman"/>
          <w:b/>
          <w:bCs/>
        </w:rPr>
      </w:pPr>
    </w:p>
    <w:p w14:paraId="2FF9B8B5" w14:textId="77777777" w:rsidR="00836F31" w:rsidRDefault="00836F31" w:rsidP="000A21A4">
      <w:pPr>
        <w:rPr>
          <w:rFonts w:ascii="Times New Roman" w:hAnsi="Times New Roman"/>
          <w:b/>
          <w:bCs/>
        </w:rPr>
      </w:pPr>
    </w:p>
    <w:p w14:paraId="49E816D0" w14:textId="77777777" w:rsidR="00836F31" w:rsidRPr="00836F31" w:rsidRDefault="00836F31" w:rsidP="000A21A4">
      <w:pPr>
        <w:rPr>
          <w:rFonts w:ascii="Times New Roman" w:hAnsi="Times New Roman"/>
          <w:b/>
          <w:bCs/>
        </w:rPr>
      </w:pPr>
    </w:p>
    <w:p w14:paraId="6CC422E7" w14:textId="77777777" w:rsidR="00701F49" w:rsidRDefault="00701F49" w:rsidP="001238E6">
      <w:pPr>
        <w:spacing w:after="160" w:line="259" w:lineRule="auto"/>
        <w:rPr>
          <w:rFonts w:ascii="Times New Roman" w:eastAsiaTheme="minorHAnsi" w:hAnsi="Times New Roman"/>
          <w:b/>
          <w:bCs/>
          <w:szCs w:val="22"/>
        </w:rPr>
      </w:pPr>
    </w:p>
    <w:p w14:paraId="541EC79C" w14:textId="27873FB2" w:rsidR="001238E6" w:rsidRDefault="00E828F7" w:rsidP="001238E6">
      <w:pPr>
        <w:spacing w:after="160" w:line="259" w:lineRule="auto"/>
        <w:rPr>
          <w:rFonts w:ascii="Times New Roman" w:eastAsiaTheme="minorHAnsi" w:hAnsi="Times New Roman"/>
          <w:b/>
          <w:bCs/>
          <w:szCs w:val="22"/>
        </w:rPr>
      </w:pPr>
      <w:r w:rsidRPr="00836F31">
        <w:rPr>
          <w:rFonts w:ascii="Times New Roman" w:eastAsiaTheme="minorHAnsi" w:hAnsi="Times New Roman"/>
          <w:b/>
          <w:bCs/>
          <w:szCs w:val="22"/>
        </w:rPr>
        <w:t xml:space="preserve">The Home Health Benefit Has Been Shrinking </w:t>
      </w:r>
      <w:r w:rsidR="00836F31" w:rsidRPr="00836F31">
        <w:rPr>
          <w:rFonts w:ascii="Times New Roman" w:eastAsiaTheme="minorHAnsi" w:hAnsi="Times New Roman"/>
          <w:b/>
          <w:bCs/>
          <w:szCs w:val="22"/>
        </w:rPr>
        <w:t>with</w:t>
      </w:r>
      <w:r w:rsidRPr="00836F31">
        <w:rPr>
          <w:rFonts w:ascii="Times New Roman" w:eastAsiaTheme="minorHAnsi" w:hAnsi="Times New Roman"/>
          <w:b/>
          <w:bCs/>
          <w:szCs w:val="22"/>
        </w:rPr>
        <w:t xml:space="preserve"> Each Rate Cut</w:t>
      </w:r>
      <w:r w:rsidR="00836F31">
        <w:rPr>
          <w:rFonts w:ascii="Times New Roman" w:eastAsiaTheme="minorHAnsi" w:hAnsi="Times New Roman"/>
          <w:b/>
          <w:bCs/>
          <w:szCs w:val="22"/>
        </w:rPr>
        <w:t>: The Proposed 202</w:t>
      </w:r>
      <w:r w:rsidR="005D335D">
        <w:rPr>
          <w:rFonts w:ascii="Times New Roman" w:eastAsiaTheme="minorHAnsi" w:hAnsi="Times New Roman"/>
          <w:b/>
          <w:bCs/>
          <w:szCs w:val="22"/>
        </w:rPr>
        <w:t>5</w:t>
      </w:r>
      <w:r w:rsidR="00836F31">
        <w:rPr>
          <w:rFonts w:ascii="Times New Roman" w:eastAsiaTheme="minorHAnsi" w:hAnsi="Times New Roman"/>
          <w:b/>
          <w:bCs/>
          <w:szCs w:val="22"/>
        </w:rPr>
        <w:t xml:space="preserve"> Rate Cut Will</w:t>
      </w:r>
      <w:r w:rsidR="007C5B7E">
        <w:rPr>
          <w:rFonts w:ascii="Times New Roman" w:eastAsiaTheme="minorHAnsi" w:hAnsi="Times New Roman"/>
          <w:b/>
          <w:bCs/>
          <w:szCs w:val="22"/>
        </w:rPr>
        <w:t xml:space="preserve"> Only Bring Further Shrinkage</w:t>
      </w:r>
    </w:p>
    <w:p w14:paraId="3E3CA7C6" w14:textId="77777777" w:rsidR="00DA4487" w:rsidRDefault="00DA4487" w:rsidP="001238E6">
      <w:pPr>
        <w:spacing w:after="160" w:line="259" w:lineRule="auto"/>
        <w:rPr>
          <w:rFonts w:ascii="Times New Roman" w:eastAsiaTheme="minorHAnsi" w:hAnsi="Times New Roman"/>
          <w:b/>
          <w:bCs/>
          <w:szCs w:val="22"/>
        </w:rPr>
      </w:pPr>
    </w:p>
    <w:p w14:paraId="04C0E436" w14:textId="193C7E74" w:rsidR="00DA4487" w:rsidRDefault="00DA4487" w:rsidP="00AB1332">
      <w:pPr>
        <w:spacing w:after="160" w:line="259" w:lineRule="auto"/>
        <w:ind w:firstLine="720"/>
        <w:rPr>
          <w:rFonts w:ascii="Times New Roman" w:eastAsiaTheme="minorHAnsi" w:hAnsi="Times New Roman"/>
          <w:szCs w:val="22"/>
        </w:rPr>
      </w:pPr>
      <w:r>
        <w:rPr>
          <w:rFonts w:ascii="Times New Roman" w:eastAsiaTheme="minorHAnsi" w:hAnsi="Times New Roman"/>
          <w:szCs w:val="22"/>
        </w:rPr>
        <w:t xml:space="preserve">In 1996, the </w:t>
      </w:r>
      <w:r w:rsidR="000B2E02">
        <w:rPr>
          <w:rFonts w:ascii="Times New Roman" w:eastAsiaTheme="minorHAnsi" w:hAnsi="Times New Roman"/>
          <w:szCs w:val="22"/>
        </w:rPr>
        <w:t>number of visits per user of home health services was 74. By 2021 it had shrunk</w:t>
      </w:r>
      <w:r w:rsidR="00B631CB">
        <w:rPr>
          <w:rFonts w:ascii="Times New Roman" w:eastAsiaTheme="minorHAnsi" w:hAnsi="Times New Roman"/>
          <w:szCs w:val="22"/>
        </w:rPr>
        <w:t xml:space="preserve"> to 25.44. That shrinking </w:t>
      </w:r>
      <w:r w:rsidR="005D0D73">
        <w:rPr>
          <w:rFonts w:ascii="Times New Roman" w:eastAsiaTheme="minorHAnsi" w:hAnsi="Times New Roman"/>
          <w:szCs w:val="22"/>
        </w:rPr>
        <w:t>occurred</w:t>
      </w:r>
      <w:r w:rsidR="00B631CB">
        <w:rPr>
          <w:rFonts w:ascii="Times New Roman" w:eastAsiaTheme="minorHAnsi" w:hAnsi="Times New Roman"/>
          <w:szCs w:val="22"/>
        </w:rPr>
        <w:t xml:space="preserve"> a</w:t>
      </w:r>
      <w:r w:rsidR="005D0D73">
        <w:rPr>
          <w:rFonts w:ascii="Times New Roman" w:eastAsiaTheme="minorHAnsi" w:hAnsi="Times New Roman"/>
          <w:szCs w:val="22"/>
        </w:rPr>
        <w:t>t</w:t>
      </w:r>
      <w:r w:rsidR="00B631CB">
        <w:rPr>
          <w:rFonts w:ascii="Times New Roman" w:eastAsiaTheme="minorHAnsi" w:hAnsi="Times New Roman"/>
          <w:szCs w:val="22"/>
        </w:rPr>
        <w:t xml:space="preserve"> various stages of payment model changes and payment rate reductions. The first generation</w:t>
      </w:r>
      <w:r w:rsidR="00790AFF">
        <w:rPr>
          <w:rFonts w:ascii="Times New Roman" w:eastAsiaTheme="minorHAnsi" w:hAnsi="Times New Roman"/>
          <w:szCs w:val="22"/>
        </w:rPr>
        <w:t xml:space="preserve"> of benefit shrinkage was in 1998, the first year of the ill-designed Interim Payment System</w:t>
      </w:r>
      <w:r w:rsidR="006B50AB">
        <w:rPr>
          <w:rFonts w:ascii="Times New Roman" w:eastAsiaTheme="minorHAnsi" w:hAnsi="Times New Roman"/>
          <w:szCs w:val="22"/>
        </w:rPr>
        <w:t xml:space="preserve"> (IPS)</w:t>
      </w:r>
      <w:r w:rsidR="00783217">
        <w:rPr>
          <w:rFonts w:ascii="Times New Roman" w:eastAsiaTheme="minorHAnsi" w:hAnsi="Times New Roman"/>
          <w:szCs w:val="22"/>
        </w:rPr>
        <w:t>, where</w:t>
      </w:r>
      <w:r w:rsidR="006B50AB">
        <w:rPr>
          <w:rFonts w:ascii="Times New Roman" w:eastAsiaTheme="minorHAnsi" w:hAnsi="Times New Roman"/>
          <w:szCs w:val="22"/>
        </w:rPr>
        <w:t xml:space="preserve"> average visits dropped to 51. With the </w:t>
      </w:r>
      <w:r w:rsidR="008209A7">
        <w:rPr>
          <w:rFonts w:ascii="Times New Roman" w:eastAsiaTheme="minorHAnsi" w:hAnsi="Times New Roman"/>
          <w:szCs w:val="22"/>
        </w:rPr>
        <w:t xml:space="preserve">onset of the Prospective Payment System in </w:t>
      </w:r>
      <w:r w:rsidR="00783217">
        <w:rPr>
          <w:rFonts w:ascii="Times New Roman" w:eastAsiaTheme="minorHAnsi" w:hAnsi="Times New Roman"/>
          <w:szCs w:val="22"/>
        </w:rPr>
        <w:t>October</w:t>
      </w:r>
      <w:r w:rsidR="008209A7">
        <w:rPr>
          <w:rFonts w:ascii="Times New Roman" w:eastAsiaTheme="minorHAnsi" w:hAnsi="Times New Roman"/>
          <w:szCs w:val="22"/>
        </w:rPr>
        <w:t xml:space="preserve"> 2000, the CY2001 average number of vis</w:t>
      </w:r>
      <w:r w:rsidR="00E00B01">
        <w:rPr>
          <w:rFonts w:ascii="Times New Roman" w:eastAsiaTheme="minorHAnsi" w:hAnsi="Times New Roman"/>
          <w:szCs w:val="22"/>
        </w:rPr>
        <w:t xml:space="preserve">its dropped to 31. </w:t>
      </w:r>
      <w:r w:rsidR="00281FD6">
        <w:rPr>
          <w:rFonts w:ascii="Times New Roman" w:eastAsiaTheme="minorHAnsi" w:hAnsi="Times New Roman"/>
          <w:szCs w:val="22"/>
        </w:rPr>
        <w:t>With a few years of stability in the payment rates, visit volume per patient stabilized and rose slightly. However, with</w:t>
      </w:r>
      <w:r w:rsidR="00F913F3">
        <w:rPr>
          <w:rFonts w:ascii="Times New Roman" w:eastAsiaTheme="minorHAnsi" w:hAnsi="Times New Roman"/>
          <w:szCs w:val="22"/>
        </w:rPr>
        <w:t>in</w:t>
      </w:r>
      <w:r w:rsidR="00281FD6">
        <w:rPr>
          <w:rFonts w:ascii="Times New Roman" w:eastAsiaTheme="minorHAnsi" w:hAnsi="Times New Roman"/>
          <w:szCs w:val="22"/>
        </w:rPr>
        <w:t xml:space="preserve"> a </w:t>
      </w:r>
      <w:r w:rsidR="00783217">
        <w:rPr>
          <w:rFonts w:ascii="Times New Roman" w:eastAsiaTheme="minorHAnsi" w:hAnsi="Times New Roman"/>
          <w:szCs w:val="22"/>
        </w:rPr>
        <w:t>six-year</w:t>
      </w:r>
      <w:r w:rsidR="00281FD6">
        <w:rPr>
          <w:rFonts w:ascii="Times New Roman" w:eastAsiaTheme="minorHAnsi" w:hAnsi="Times New Roman"/>
          <w:szCs w:val="22"/>
        </w:rPr>
        <w:t xml:space="preserve"> series of rate </w:t>
      </w:r>
      <w:r w:rsidR="005D0D73">
        <w:rPr>
          <w:rFonts w:ascii="Times New Roman" w:eastAsiaTheme="minorHAnsi" w:hAnsi="Times New Roman"/>
          <w:szCs w:val="22"/>
        </w:rPr>
        <w:t>cuts</w:t>
      </w:r>
      <w:r w:rsidR="00281FD6">
        <w:rPr>
          <w:rFonts w:ascii="Times New Roman" w:eastAsiaTheme="minorHAnsi" w:hAnsi="Times New Roman"/>
          <w:szCs w:val="22"/>
        </w:rPr>
        <w:t xml:space="preserve">, visits per patient dropped </w:t>
      </w:r>
      <w:r w:rsidR="0066032B">
        <w:rPr>
          <w:rFonts w:ascii="Times New Roman" w:eastAsiaTheme="minorHAnsi" w:hAnsi="Times New Roman"/>
          <w:szCs w:val="22"/>
        </w:rPr>
        <w:t xml:space="preserve">back down </w:t>
      </w:r>
      <w:r w:rsidR="00281FD6">
        <w:rPr>
          <w:rFonts w:ascii="Times New Roman" w:eastAsiaTheme="minorHAnsi" w:hAnsi="Times New Roman"/>
          <w:szCs w:val="22"/>
        </w:rPr>
        <w:t>to an average of</w:t>
      </w:r>
      <w:r w:rsidR="0066032B">
        <w:rPr>
          <w:rFonts w:ascii="Times New Roman" w:eastAsiaTheme="minorHAnsi" w:hAnsi="Times New Roman"/>
          <w:szCs w:val="22"/>
        </w:rPr>
        <w:t xml:space="preserve"> 31. With </w:t>
      </w:r>
      <w:r w:rsidR="001666C9">
        <w:rPr>
          <w:rFonts w:ascii="Times New Roman" w:eastAsiaTheme="minorHAnsi" w:hAnsi="Times New Roman"/>
          <w:szCs w:val="22"/>
        </w:rPr>
        <w:t>the additional</w:t>
      </w:r>
      <w:r w:rsidR="006B6543">
        <w:rPr>
          <w:rFonts w:ascii="Times New Roman" w:eastAsiaTheme="minorHAnsi" w:hAnsi="Times New Roman"/>
          <w:szCs w:val="22"/>
        </w:rPr>
        <w:t xml:space="preserve"> </w:t>
      </w:r>
      <w:r w:rsidR="0066032B">
        <w:rPr>
          <w:rFonts w:ascii="Times New Roman" w:eastAsiaTheme="minorHAnsi" w:hAnsi="Times New Roman"/>
          <w:szCs w:val="22"/>
        </w:rPr>
        <w:t>rate cut</w:t>
      </w:r>
      <w:r w:rsidR="00CA622A">
        <w:rPr>
          <w:rFonts w:ascii="Times New Roman" w:eastAsiaTheme="minorHAnsi" w:hAnsi="Times New Roman"/>
          <w:szCs w:val="22"/>
        </w:rPr>
        <w:t>s</w:t>
      </w:r>
      <w:r w:rsidR="0066032B">
        <w:rPr>
          <w:rFonts w:ascii="Times New Roman" w:eastAsiaTheme="minorHAnsi" w:hAnsi="Times New Roman"/>
          <w:szCs w:val="22"/>
        </w:rPr>
        <w:t xml:space="preserve"> that began in 2014 and </w:t>
      </w:r>
      <w:r w:rsidR="00783217">
        <w:rPr>
          <w:rFonts w:ascii="Times New Roman" w:eastAsiaTheme="minorHAnsi" w:hAnsi="Times New Roman"/>
          <w:szCs w:val="22"/>
        </w:rPr>
        <w:t>continued</w:t>
      </w:r>
      <w:r w:rsidR="00CA622A">
        <w:rPr>
          <w:rFonts w:ascii="Times New Roman" w:eastAsiaTheme="minorHAnsi" w:hAnsi="Times New Roman"/>
          <w:szCs w:val="22"/>
        </w:rPr>
        <w:t xml:space="preserve"> to 2017</w:t>
      </w:r>
      <w:r w:rsidR="00783217">
        <w:rPr>
          <w:rFonts w:ascii="Times New Roman" w:eastAsiaTheme="minorHAnsi" w:hAnsi="Times New Roman"/>
          <w:szCs w:val="22"/>
        </w:rPr>
        <w:t xml:space="preserve">, </w:t>
      </w:r>
      <w:r w:rsidR="00CA622A">
        <w:rPr>
          <w:rFonts w:ascii="Times New Roman" w:eastAsiaTheme="minorHAnsi" w:hAnsi="Times New Roman"/>
          <w:szCs w:val="22"/>
        </w:rPr>
        <w:t xml:space="preserve">per patient visit volume stayed steady, </w:t>
      </w:r>
      <w:r w:rsidR="009E64CC">
        <w:rPr>
          <w:rFonts w:ascii="Times New Roman" w:eastAsiaTheme="minorHAnsi" w:hAnsi="Times New Roman"/>
          <w:szCs w:val="22"/>
        </w:rPr>
        <w:t>but by 2018 the number of patients serv</w:t>
      </w:r>
      <w:r w:rsidR="009C2B4D">
        <w:rPr>
          <w:rFonts w:ascii="Times New Roman" w:eastAsiaTheme="minorHAnsi" w:hAnsi="Times New Roman"/>
          <w:szCs w:val="22"/>
        </w:rPr>
        <w:t xml:space="preserve">ed dropped by over 100,000 despite the growth in Medicare enrollment </w:t>
      </w:r>
      <w:r w:rsidR="00783217">
        <w:rPr>
          <w:rFonts w:ascii="Times New Roman" w:eastAsiaTheme="minorHAnsi" w:hAnsi="Times New Roman"/>
          <w:szCs w:val="22"/>
        </w:rPr>
        <w:t>of more than 1.4 million</w:t>
      </w:r>
      <w:r w:rsidR="00CE6883">
        <w:rPr>
          <w:rFonts w:ascii="Times New Roman" w:eastAsiaTheme="minorHAnsi" w:hAnsi="Times New Roman"/>
          <w:szCs w:val="22"/>
        </w:rPr>
        <w:t xml:space="preserve">. </w:t>
      </w:r>
    </w:p>
    <w:p w14:paraId="0DEAE70C" w14:textId="355A8540" w:rsidR="00F00F8D" w:rsidRDefault="00F00F8D" w:rsidP="00AB1332">
      <w:pPr>
        <w:spacing w:after="160" w:line="259" w:lineRule="auto"/>
        <w:ind w:firstLine="720"/>
        <w:rPr>
          <w:rFonts w:ascii="Times New Roman" w:eastAsiaTheme="minorHAnsi" w:hAnsi="Times New Roman"/>
          <w:szCs w:val="22"/>
        </w:rPr>
      </w:pPr>
      <w:r>
        <w:rPr>
          <w:rFonts w:ascii="Times New Roman" w:eastAsiaTheme="minorHAnsi" w:hAnsi="Times New Roman"/>
          <w:szCs w:val="22"/>
        </w:rPr>
        <w:t>With the onset of the PDGM system in CY2020, another drop in per patient vis</w:t>
      </w:r>
      <w:r w:rsidR="00033D0E">
        <w:rPr>
          <w:rFonts w:ascii="Times New Roman" w:eastAsiaTheme="minorHAnsi" w:hAnsi="Times New Roman"/>
          <w:szCs w:val="22"/>
        </w:rPr>
        <w:t xml:space="preserve">its occurred, reducing the average to 27.57. The second year of PDGM saw more of the same with the average reduced to 25.44 visits. </w:t>
      </w:r>
      <w:r w:rsidR="00FC39EB">
        <w:rPr>
          <w:rFonts w:ascii="Times New Roman" w:eastAsiaTheme="minorHAnsi" w:hAnsi="Times New Roman"/>
          <w:szCs w:val="22"/>
        </w:rPr>
        <w:t xml:space="preserve">While the level of services lost has been significant, the reduction in Medicare beneficiaries that use home health services has been even more dramatic, dropping from </w:t>
      </w:r>
      <w:r w:rsidR="006A0B04">
        <w:rPr>
          <w:rFonts w:ascii="Times New Roman" w:eastAsiaTheme="minorHAnsi" w:hAnsi="Times New Roman"/>
          <w:szCs w:val="22"/>
        </w:rPr>
        <w:t>3.6 million in 1996 to 3.02 million in 2021</w:t>
      </w:r>
      <w:r w:rsidR="007534BD">
        <w:rPr>
          <w:rFonts w:ascii="Times New Roman" w:eastAsiaTheme="minorHAnsi" w:hAnsi="Times New Roman"/>
          <w:szCs w:val="22"/>
        </w:rPr>
        <w:t xml:space="preserve"> despite </w:t>
      </w:r>
      <w:r w:rsidR="00832433">
        <w:rPr>
          <w:rFonts w:ascii="Times New Roman" w:eastAsiaTheme="minorHAnsi" w:hAnsi="Times New Roman"/>
          <w:szCs w:val="22"/>
        </w:rPr>
        <w:t xml:space="preserve">a 2.7 million increase in </w:t>
      </w:r>
      <w:r w:rsidR="0055202F">
        <w:rPr>
          <w:rFonts w:ascii="Times New Roman" w:eastAsiaTheme="minorHAnsi" w:hAnsi="Times New Roman"/>
          <w:szCs w:val="22"/>
        </w:rPr>
        <w:t xml:space="preserve">traditional Medicare </w:t>
      </w:r>
      <w:r w:rsidR="00832433">
        <w:rPr>
          <w:rFonts w:ascii="Times New Roman" w:eastAsiaTheme="minorHAnsi" w:hAnsi="Times New Roman"/>
          <w:szCs w:val="22"/>
        </w:rPr>
        <w:t xml:space="preserve">enrollees. </w:t>
      </w:r>
    </w:p>
    <w:p w14:paraId="56CA83BB" w14:textId="77777777" w:rsidR="00832433" w:rsidRDefault="00832433" w:rsidP="001238E6">
      <w:pPr>
        <w:spacing w:after="160" w:line="259" w:lineRule="auto"/>
        <w:rPr>
          <w:rFonts w:ascii="Times New Roman" w:eastAsiaTheme="minorHAnsi" w:hAnsi="Times New Roman"/>
          <w:szCs w:val="22"/>
        </w:rPr>
      </w:pPr>
    </w:p>
    <w:tbl>
      <w:tblPr>
        <w:tblStyle w:val="TableGrid1"/>
        <w:tblW w:w="0" w:type="auto"/>
        <w:tblLayout w:type="fixed"/>
        <w:tblLook w:val="04A0" w:firstRow="1" w:lastRow="0" w:firstColumn="1" w:lastColumn="0" w:noHBand="0" w:noVBand="1"/>
      </w:tblPr>
      <w:tblGrid>
        <w:gridCol w:w="916"/>
        <w:gridCol w:w="1204"/>
        <w:gridCol w:w="1247"/>
        <w:gridCol w:w="1027"/>
        <w:gridCol w:w="1066"/>
        <w:gridCol w:w="1302"/>
        <w:gridCol w:w="1513"/>
        <w:gridCol w:w="1075"/>
      </w:tblGrid>
      <w:tr w:rsidR="00F6371C" w:rsidRPr="001238E6" w14:paraId="613723A2" w14:textId="77777777" w:rsidTr="00A677AD">
        <w:trPr>
          <w:trHeight w:val="980"/>
        </w:trPr>
        <w:tc>
          <w:tcPr>
            <w:tcW w:w="916" w:type="dxa"/>
          </w:tcPr>
          <w:p w14:paraId="3BDC8403" w14:textId="213F3C47" w:rsidR="001238E6" w:rsidRPr="001238E6" w:rsidRDefault="001238E6" w:rsidP="001238E6">
            <w:pPr>
              <w:rPr>
                <w:rFonts w:ascii="Times New Roman" w:eastAsiaTheme="minorHAnsi" w:hAnsi="Times New Roman"/>
                <w:sz w:val="20"/>
              </w:rPr>
            </w:pPr>
            <w:bookmarkStart w:id="2" w:name="_Hlk93921371"/>
            <w:bookmarkStart w:id="3" w:name="_Hlk93921063"/>
            <w:bookmarkStart w:id="4" w:name="_Hlk93921167"/>
            <w:r w:rsidRPr="001238E6">
              <w:rPr>
                <w:rFonts w:ascii="Times New Roman" w:eastAsiaTheme="minorHAnsi" w:hAnsi="Times New Roman"/>
                <w:sz w:val="20"/>
              </w:rPr>
              <w:t>YEAR</w:t>
            </w:r>
          </w:p>
        </w:tc>
        <w:tc>
          <w:tcPr>
            <w:tcW w:w="1204" w:type="dxa"/>
          </w:tcPr>
          <w:p w14:paraId="15C146DA" w14:textId="58235B31"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Trad</w:t>
            </w:r>
            <w:r w:rsidR="00832433">
              <w:rPr>
                <w:rFonts w:ascii="Times New Roman" w:eastAsiaTheme="minorHAnsi" w:hAnsi="Times New Roman"/>
                <w:sz w:val="20"/>
              </w:rPr>
              <w:t>itional</w:t>
            </w:r>
            <w:r w:rsidR="0000065F">
              <w:rPr>
                <w:rFonts w:ascii="Times New Roman" w:eastAsiaTheme="minorHAnsi" w:hAnsi="Times New Roman"/>
                <w:sz w:val="20"/>
              </w:rPr>
              <w:t xml:space="preserve"> </w:t>
            </w:r>
            <w:r w:rsidRPr="001238E6">
              <w:rPr>
                <w:rFonts w:ascii="Times New Roman" w:eastAsiaTheme="minorHAnsi" w:hAnsi="Times New Roman"/>
                <w:sz w:val="20"/>
              </w:rPr>
              <w:t>Medicar</w:t>
            </w:r>
            <w:r w:rsidR="00F6371C">
              <w:rPr>
                <w:rFonts w:ascii="Times New Roman" w:eastAsiaTheme="minorHAnsi" w:hAnsi="Times New Roman"/>
                <w:sz w:val="20"/>
              </w:rPr>
              <w:t xml:space="preserve">e </w:t>
            </w:r>
            <w:r w:rsidRPr="001238E6">
              <w:rPr>
                <w:rFonts w:ascii="Times New Roman" w:eastAsiaTheme="minorHAnsi" w:hAnsi="Times New Roman"/>
                <w:sz w:val="20"/>
              </w:rPr>
              <w:t>Enroll</w:t>
            </w:r>
            <w:r w:rsidR="0000065F">
              <w:rPr>
                <w:rFonts w:ascii="Times New Roman" w:eastAsiaTheme="minorHAnsi" w:hAnsi="Times New Roman"/>
                <w:sz w:val="20"/>
              </w:rPr>
              <w:t>ees</w:t>
            </w:r>
          </w:p>
        </w:tc>
        <w:tc>
          <w:tcPr>
            <w:tcW w:w="1247" w:type="dxa"/>
          </w:tcPr>
          <w:p w14:paraId="32C7D1EB" w14:textId="2A81E08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USERS (</w:t>
            </w:r>
            <w:r w:rsidR="00F6371C">
              <w:rPr>
                <w:rFonts w:ascii="Times New Roman" w:eastAsiaTheme="minorHAnsi" w:hAnsi="Times New Roman"/>
                <w:sz w:val="20"/>
              </w:rPr>
              <w:t>1000s)</w:t>
            </w:r>
          </w:p>
        </w:tc>
        <w:tc>
          <w:tcPr>
            <w:tcW w:w="1027" w:type="dxa"/>
          </w:tcPr>
          <w:p w14:paraId="36CCEB1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VISITS PER PERSON</w:t>
            </w:r>
          </w:p>
        </w:tc>
        <w:tc>
          <w:tcPr>
            <w:tcW w:w="1066" w:type="dxa"/>
          </w:tcPr>
          <w:p w14:paraId="6E64304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VISITS PER EPISODE</w:t>
            </w:r>
          </w:p>
        </w:tc>
        <w:tc>
          <w:tcPr>
            <w:tcW w:w="1302" w:type="dxa"/>
          </w:tcPr>
          <w:p w14:paraId="149C8928" w14:textId="5B175CC3"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MEDICARE HH PAYMENTS (</w:t>
            </w:r>
            <w:r w:rsidR="00F6371C">
              <w:rPr>
                <w:rFonts w:ascii="Times New Roman" w:eastAsiaTheme="minorHAnsi" w:hAnsi="Times New Roman"/>
                <w:sz w:val="20"/>
              </w:rPr>
              <w:t>1000s</w:t>
            </w:r>
            <w:r w:rsidRPr="001238E6">
              <w:rPr>
                <w:rFonts w:ascii="Times New Roman" w:eastAsiaTheme="minorHAnsi" w:hAnsi="Times New Roman"/>
                <w:sz w:val="20"/>
              </w:rPr>
              <w:t>)</w:t>
            </w:r>
          </w:p>
        </w:tc>
        <w:tc>
          <w:tcPr>
            <w:tcW w:w="1513" w:type="dxa"/>
          </w:tcPr>
          <w:p w14:paraId="54467F1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PAYMENTS PER PERSON</w:t>
            </w:r>
          </w:p>
        </w:tc>
        <w:tc>
          <w:tcPr>
            <w:tcW w:w="1075" w:type="dxa"/>
          </w:tcPr>
          <w:p w14:paraId="2F86CB6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PAYMENTS PER EPISODE</w:t>
            </w:r>
          </w:p>
        </w:tc>
      </w:tr>
      <w:tr w:rsidR="00F6371C" w:rsidRPr="001238E6" w14:paraId="5C88378C" w14:textId="77777777" w:rsidTr="00A677AD">
        <w:tc>
          <w:tcPr>
            <w:tcW w:w="916" w:type="dxa"/>
          </w:tcPr>
          <w:p w14:paraId="1B5EF48A" w14:textId="77777777" w:rsidR="001238E6" w:rsidRPr="001238E6" w:rsidRDefault="001238E6" w:rsidP="001238E6">
            <w:pPr>
              <w:rPr>
                <w:rFonts w:ascii="Times New Roman" w:eastAsiaTheme="minorHAnsi" w:hAnsi="Times New Roman"/>
                <w:sz w:val="20"/>
              </w:rPr>
            </w:pPr>
            <w:bookmarkStart w:id="5" w:name="_Hlk93409331"/>
            <w:bookmarkEnd w:id="2"/>
            <w:r w:rsidRPr="001238E6">
              <w:rPr>
                <w:rFonts w:ascii="Times New Roman" w:eastAsiaTheme="minorHAnsi" w:hAnsi="Times New Roman"/>
                <w:sz w:val="20"/>
              </w:rPr>
              <w:t>1990</w:t>
            </w:r>
          </w:p>
        </w:tc>
        <w:tc>
          <w:tcPr>
            <w:tcW w:w="1204" w:type="dxa"/>
          </w:tcPr>
          <w:p w14:paraId="24D8212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247" w:type="dxa"/>
          </w:tcPr>
          <w:p w14:paraId="127DD3C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1967.1</w:t>
            </w:r>
          </w:p>
        </w:tc>
        <w:tc>
          <w:tcPr>
            <w:tcW w:w="1027" w:type="dxa"/>
          </w:tcPr>
          <w:p w14:paraId="0031582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36</w:t>
            </w:r>
          </w:p>
        </w:tc>
        <w:tc>
          <w:tcPr>
            <w:tcW w:w="1066" w:type="dxa"/>
          </w:tcPr>
          <w:p w14:paraId="000E824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47A83ED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$3,713,652</w:t>
            </w:r>
          </w:p>
        </w:tc>
        <w:tc>
          <w:tcPr>
            <w:tcW w:w="1513" w:type="dxa"/>
          </w:tcPr>
          <w:p w14:paraId="1C7FF26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$1,892</w:t>
            </w:r>
          </w:p>
        </w:tc>
        <w:tc>
          <w:tcPr>
            <w:tcW w:w="1075" w:type="dxa"/>
          </w:tcPr>
          <w:p w14:paraId="7381FB0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bookmarkEnd w:id="5"/>
      <w:tr w:rsidR="00F6371C" w:rsidRPr="001238E6" w14:paraId="6B454328" w14:textId="77777777" w:rsidTr="00A677AD">
        <w:tc>
          <w:tcPr>
            <w:tcW w:w="916" w:type="dxa"/>
          </w:tcPr>
          <w:p w14:paraId="70C7E76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1991</w:t>
            </w:r>
          </w:p>
        </w:tc>
        <w:tc>
          <w:tcPr>
            <w:tcW w:w="1204" w:type="dxa"/>
          </w:tcPr>
          <w:p w14:paraId="40042ED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247" w:type="dxa"/>
          </w:tcPr>
          <w:p w14:paraId="7B857D0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2242.9</w:t>
            </w:r>
          </w:p>
        </w:tc>
        <w:tc>
          <w:tcPr>
            <w:tcW w:w="1027" w:type="dxa"/>
          </w:tcPr>
          <w:p w14:paraId="4B19E1E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45</w:t>
            </w:r>
          </w:p>
        </w:tc>
        <w:tc>
          <w:tcPr>
            <w:tcW w:w="1066" w:type="dxa"/>
          </w:tcPr>
          <w:p w14:paraId="3AFC915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0661A84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5,369,051</w:t>
            </w:r>
          </w:p>
        </w:tc>
        <w:tc>
          <w:tcPr>
            <w:tcW w:w="1513" w:type="dxa"/>
          </w:tcPr>
          <w:p w14:paraId="6B82740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2,397</w:t>
            </w:r>
          </w:p>
        </w:tc>
        <w:tc>
          <w:tcPr>
            <w:tcW w:w="1075" w:type="dxa"/>
          </w:tcPr>
          <w:p w14:paraId="06AB0E0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648BA328" w14:textId="77777777" w:rsidTr="00A677AD">
        <w:tc>
          <w:tcPr>
            <w:tcW w:w="916" w:type="dxa"/>
          </w:tcPr>
          <w:p w14:paraId="5B2E4CF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1992</w:t>
            </w:r>
          </w:p>
        </w:tc>
        <w:tc>
          <w:tcPr>
            <w:tcW w:w="1204" w:type="dxa"/>
          </w:tcPr>
          <w:p w14:paraId="1A4B8E4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247" w:type="dxa"/>
          </w:tcPr>
          <w:p w14:paraId="5F9D040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2506.2</w:t>
            </w:r>
          </w:p>
        </w:tc>
        <w:tc>
          <w:tcPr>
            <w:tcW w:w="1027" w:type="dxa"/>
          </w:tcPr>
          <w:p w14:paraId="25AFF45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53</w:t>
            </w:r>
          </w:p>
        </w:tc>
        <w:tc>
          <w:tcPr>
            <w:tcW w:w="1066" w:type="dxa"/>
          </w:tcPr>
          <w:p w14:paraId="6A3D236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46847EB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7,396,822</w:t>
            </w:r>
          </w:p>
        </w:tc>
        <w:tc>
          <w:tcPr>
            <w:tcW w:w="1513" w:type="dxa"/>
          </w:tcPr>
          <w:p w14:paraId="63FEDB5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2,955</w:t>
            </w:r>
          </w:p>
        </w:tc>
        <w:tc>
          <w:tcPr>
            <w:tcW w:w="1075" w:type="dxa"/>
          </w:tcPr>
          <w:p w14:paraId="4331B22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5DD04216" w14:textId="77777777" w:rsidTr="00A677AD">
        <w:tc>
          <w:tcPr>
            <w:tcW w:w="916" w:type="dxa"/>
          </w:tcPr>
          <w:p w14:paraId="5BFF297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1993</w:t>
            </w:r>
          </w:p>
        </w:tc>
        <w:tc>
          <w:tcPr>
            <w:tcW w:w="1204" w:type="dxa"/>
          </w:tcPr>
          <w:p w14:paraId="66E5D42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247" w:type="dxa"/>
          </w:tcPr>
          <w:p w14:paraId="1A09B36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2874.1</w:t>
            </w:r>
          </w:p>
        </w:tc>
        <w:tc>
          <w:tcPr>
            <w:tcW w:w="1027" w:type="dxa"/>
          </w:tcPr>
          <w:p w14:paraId="0134C70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57</w:t>
            </w:r>
          </w:p>
        </w:tc>
        <w:tc>
          <w:tcPr>
            <w:tcW w:w="1066" w:type="dxa"/>
          </w:tcPr>
          <w:p w14:paraId="60C3D8A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545BE76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9,726,444</w:t>
            </w:r>
          </w:p>
        </w:tc>
        <w:tc>
          <w:tcPr>
            <w:tcW w:w="1513" w:type="dxa"/>
          </w:tcPr>
          <w:p w14:paraId="64C8F9B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3,389</w:t>
            </w:r>
          </w:p>
        </w:tc>
        <w:tc>
          <w:tcPr>
            <w:tcW w:w="1075" w:type="dxa"/>
          </w:tcPr>
          <w:p w14:paraId="0D219EA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06821503" w14:textId="77777777" w:rsidTr="00A677AD">
        <w:tc>
          <w:tcPr>
            <w:tcW w:w="916" w:type="dxa"/>
          </w:tcPr>
          <w:p w14:paraId="1984228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1994</w:t>
            </w:r>
          </w:p>
        </w:tc>
        <w:tc>
          <w:tcPr>
            <w:tcW w:w="1204" w:type="dxa"/>
          </w:tcPr>
          <w:p w14:paraId="7D2D7B6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34,076</w:t>
            </w:r>
          </w:p>
        </w:tc>
        <w:tc>
          <w:tcPr>
            <w:tcW w:w="1247" w:type="dxa"/>
          </w:tcPr>
          <w:p w14:paraId="54E3B02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3179.2</w:t>
            </w:r>
          </w:p>
        </w:tc>
        <w:tc>
          <w:tcPr>
            <w:tcW w:w="1027" w:type="dxa"/>
          </w:tcPr>
          <w:p w14:paraId="3DEA8A2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66</w:t>
            </w:r>
          </w:p>
        </w:tc>
        <w:tc>
          <w:tcPr>
            <w:tcW w:w="1066" w:type="dxa"/>
          </w:tcPr>
          <w:p w14:paraId="69C227B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587BABB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12,660,526</w:t>
            </w:r>
          </w:p>
        </w:tc>
        <w:tc>
          <w:tcPr>
            <w:tcW w:w="1513" w:type="dxa"/>
          </w:tcPr>
          <w:p w14:paraId="1B7789D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3,987</w:t>
            </w:r>
          </w:p>
        </w:tc>
        <w:tc>
          <w:tcPr>
            <w:tcW w:w="1075" w:type="dxa"/>
          </w:tcPr>
          <w:p w14:paraId="53EEAD7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29C1EFA8" w14:textId="77777777" w:rsidTr="00A677AD">
        <w:tc>
          <w:tcPr>
            <w:tcW w:w="916" w:type="dxa"/>
          </w:tcPr>
          <w:p w14:paraId="476CD8F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1995</w:t>
            </w:r>
          </w:p>
        </w:tc>
        <w:tc>
          <w:tcPr>
            <w:tcW w:w="1204" w:type="dxa"/>
          </w:tcPr>
          <w:p w14:paraId="35CBB95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34,062</w:t>
            </w:r>
          </w:p>
        </w:tc>
        <w:tc>
          <w:tcPr>
            <w:tcW w:w="1247" w:type="dxa"/>
          </w:tcPr>
          <w:p w14:paraId="6392415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3469.4</w:t>
            </w:r>
          </w:p>
        </w:tc>
        <w:tc>
          <w:tcPr>
            <w:tcW w:w="1027" w:type="dxa"/>
          </w:tcPr>
          <w:p w14:paraId="7CE2187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72</w:t>
            </w:r>
          </w:p>
        </w:tc>
        <w:tc>
          <w:tcPr>
            <w:tcW w:w="1066" w:type="dxa"/>
          </w:tcPr>
          <w:p w14:paraId="08D1C0B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71D9D49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15,391,094</w:t>
            </w:r>
          </w:p>
        </w:tc>
        <w:tc>
          <w:tcPr>
            <w:tcW w:w="1513" w:type="dxa"/>
          </w:tcPr>
          <w:p w14:paraId="4CBE591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4,441</w:t>
            </w:r>
          </w:p>
        </w:tc>
        <w:tc>
          <w:tcPr>
            <w:tcW w:w="1075" w:type="dxa"/>
          </w:tcPr>
          <w:p w14:paraId="3D6D6B8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10729AEE" w14:textId="77777777" w:rsidTr="00A677AD">
        <w:tc>
          <w:tcPr>
            <w:tcW w:w="916" w:type="dxa"/>
          </w:tcPr>
          <w:p w14:paraId="1013D7E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lastRenderedPageBreak/>
              <w:t>1996</w:t>
            </w:r>
          </w:p>
        </w:tc>
        <w:tc>
          <w:tcPr>
            <w:tcW w:w="1204" w:type="dxa"/>
          </w:tcPr>
          <w:p w14:paraId="644F550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33,704</w:t>
            </w:r>
          </w:p>
        </w:tc>
        <w:tc>
          <w:tcPr>
            <w:tcW w:w="1247" w:type="dxa"/>
          </w:tcPr>
          <w:p w14:paraId="527E7EC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3599.7</w:t>
            </w:r>
          </w:p>
        </w:tc>
        <w:tc>
          <w:tcPr>
            <w:tcW w:w="1027" w:type="dxa"/>
          </w:tcPr>
          <w:p w14:paraId="59D38FA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74</w:t>
            </w:r>
          </w:p>
        </w:tc>
        <w:tc>
          <w:tcPr>
            <w:tcW w:w="1066" w:type="dxa"/>
          </w:tcPr>
          <w:p w14:paraId="243C072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2DEBA0E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16,756,767</w:t>
            </w:r>
          </w:p>
        </w:tc>
        <w:tc>
          <w:tcPr>
            <w:tcW w:w="1513" w:type="dxa"/>
          </w:tcPr>
          <w:p w14:paraId="4387FB0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4,660</w:t>
            </w:r>
          </w:p>
        </w:tc>
        <w:tc>
          <w:tcPr>
            <w:tcW w:w="1075" w:type="dxa"/>
          </w:tcPr>
          <w:p w14:paraId="52B54DB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50E55C08" w14:textId="77777777" w:rsidTr="00A677AD">
        <w:tc>
          <w:tcPr>
            <w:tcW w:w="916" w:type="dxa"/>
          </w:tcPr>
          <w:p w14:paraId="17AE5A3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1997</w:t>
            </w:r>
          </w:p>
        </w:tc>
        <w:tc>
          <w:tcPr>
            <w:tcW w:w="1204" w:type="dxa"/>
          </w:tcPr>
          <w:p w14:paraId="16C74A2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33,009</w:t>
            </w:r>
          </w:p>
        </w:tc>
        <w:tc>
          <w:tcPr>
            <w:tcW w:w="1247" w:type="dxa"/>
          </w:tcPr>
          <w:p w14:paraId="76742B5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3557.5</w:t>
            </w:r>
          </w:p>
        </w:tc>
        <w:tc>
          <w:tcPr>
            <w:tcW w:w="1027" w:type="dxa"/>
          </w:tcPr>
          <w:p w14:paraId="61AF371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73</w:t>
            </w:r>
          </w:p>
        </w:tc>
        <w:tc>
          <w:tcPr>
            <w:tcW w:w="1066" w:type="dxa"/>
          </w:tcPr>
          <w:p w14:paraId="19E0634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504CE43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16,718,263</w:t>
            </w:r>
          </w:p>
        </w:tc>
        <w:tc>
          <w:tcPr>
            <w:tcW w:w="1513" w:type="dxa"/>
          </w:tcPr>
          <w:p w14:paraId="30DD15B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4,704</w:t>
            </w:r>
          </w:p>
        </w:tc>
        <w:tc>
          <w:tcPr>
            <w:tcW w:w="1075" w:type="dxa"/>
          </w:tcPr>
          <w:p w14:paraId="2C97A6C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1844542A" w14:textId="77777777" w:rsidTr="00A677AD">
        <w:tc>
          <w:tcPr>
            <w:tcW w:w="916" w:type="dxa"/>
          </w:tcPr>
          <w:p w14:paraId="0A088CE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1998</w:t>
            </w:r>
          </w:p>
        </w:tc>
        <w:tc>
          <w:tcPr>
            <w:tcW w:w="1204" w:type="dxa"/>
          </w:tcPr>
          <w:p w14:paraId="0512464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32,349</w:t>
            </w:r>
          </w:p>
        </w:tc>
        <w:tc>
          <w:tcPr>
            <w:tcW w:w="1247" w:type="dxa"/>
          </w:tcPr>
          <w:p w14:paraId="291EA26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3061.6</w:t>
            </w:r>
          </w:p>
        </w:tc>
        <w:tc>
          <w:tcPr>
            <w:tcW w:w="1027" w:type="dxa"/>
          </w:tcPr>
          <w:p w14:paraId="174A15E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51</w:t>
            </w:r>
          </w:p>
        </w:tc>
        <w:tc>
          <w:tcPr>
            <w:tcW w:w="1066" w:type="dxa"/>
          </w:tcPr>
          <w:p w14:paraId="103609E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31.6*</w:t>
            </w:r>
          </w:p>
        </w:tc>
        <w:tc>
          <w:tcPr>
            <w:tcW w:w="1302" w:type="dxa"/>
          </w:tcPr>
          <w:p w14:paraId="04264FA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10,456,908</w:t>
            </w:r>
          </w:p>
        </w:tc>
        <w:tc>
          <w:tcPr>
            <w:tcW w:w="1513" w:type="dxa"/>
          </w:tcPr>
          <w:p w14:paraId="4CCAEC7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3,420</w:t>
            </w:r>
          </w:p>
        </w:tc>
        <w:tc>
          <w:tcPr>
            <w:tcW w:w="1075" w:type="dxa"/>
          </w:tcPr>
          <w:p w14:paraId="1FDDBA6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349FB9A5" w14:textId="77777777" w:rsidTr="00A677AD">
        <w:tc>
          <w:tcPr>
            <w:tcW w:w="916" w:type="dxa"/>
          </w:tcPr>
          <w:p w14:paraId="105D8DD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1999</w:t>
            </w:r>
          </w:p>
        </w:tc>
        <w:tc>
          <w:tcPr>
            <w:tcW w:w="1204" w:type="dxa"/>
          </w:tcPr>
          <w:p w14:paraId="7016A4D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32,179</w:t>
            </w:r>
          </w:p>
        </w:tc>
        <w:tc>
          <w:tcPr>
            <w:tcW w:w="1247" w:type="dxa"/>
          </w:tcPr>
          <w:p w14:paraId="2FBE364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2719.7</w:t>
            </w:r>
          </w:p>
        </w:tc>
        <w:tc>
          <w:tcPr>
            <w:tcW w:w="1027" w:type="dxa"/>
          </w:tcPr>
          <w:p w14:paraId="2F36075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42</w:t>
            </w:r>
          </w:p>
        </w:tc>
        <w:tc>
          <w:tcPr>
            <w:tcW w:w="1066" w:type="dxa"/>
          </w:tcPr>
          <w:p w14:paraId="46C510A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111D251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7,936,513</w:t>
            </w:r>
          </w:p>
        </w:tc>
        <w:tc>
          <w:tcPr>
            <w:tcW w:w="1513" w:type="dxa"/>
          </w:tcPr>
          <w:p w14:paraId="2624F3A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2,921</w:t>
            </w:r>
          </w:p>
        </w:tc>
        <w:tc>
          <w:tcPr>
            <w:tcW w:w="1075" w:type="dxa"/>
          </w:tcPr>
          <w:p w14:paraId="72A4BAD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1929CF6A" w14:textId="77777777" w:rsidTr="00A677AD">
        <w:tc>
          <w:tcPr>
            <w:tcW w:w="916" w:type="dxa"/>
          </w:tcPr>
          <w:p w14:paraId="6EA1C0F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2000</w:t>
            </w:r>
          </w:p>
        </w:tc>
        <w:tc>
          <w:tcPr>
            <w:tcW w:w="1204" w:type="dxa"/>
          </w:tcPr>
          <w:p w14:paraId="4E757FC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32,740</w:t>
            </w:r>
          </w:p>
        </w:tc>
        <w:tc>
          <w:tcPr>
            <w:tcW w:w="1247" w:type="dxa"/>
          </w:tcPr>
          <w:p w14:paraId="0CB3D56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2461.2</w:t>
            </w:r>
          </w:p>
        </w:tc>
        <w:tc>
          <w:tcPr>
            <w:tcW w:w="1027" w:type="dxa"/>
          </w:tcPr>
          <w:p w14:paraId="6A0F922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w:t>
            </w:r>
          </w:p>
        </w:tc>
        <w:tc>
          <w:tcPr>
            <w:tcW w:w="1066" w:type="dxa"/>
          </w:tcPr>
          <w:p w14:paraId="7267076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c>
          <w:tcPr>
            <w:tcW w:w="1302" w:type="dxa"/>
          </w:tcPr>
          <w:p w14:paraId="7593284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7,215,958</w:t>
            </w:r>
          </w:p>
        </w:tc>
        <w:tc>
          <w:tcPr>
            <w:tcW w:w="1513" w:type="dxa"/>
          </w:tcPr>
          <w:p w14:paraId="297DC27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2.936</w:t>
            </w:r>
          </w:p>
        </w:tc>
        <w:tc>
          <w:tcPr>
            <w:tcW w:w="1075" w:type="dxa"/>
          </w:tcPr>
          <w:p w14:paraId="5899A3B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38835A4A" w14:textId="77777777" w:rsidTr="00A677AD">
        <w:tc>
          <w:tcPr>
            <w:tcW w:w="916" w:type="dxa"/>
          </w:tcPr>
          <w:p w14:paraId="7406D0A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2001</w:t>
            </w:r>
          </w:p>
        </w:tc>
        <w:tc>
          <w:tcPr>
            <w:tcW w:w="1204" w:type="dxa"/>
          </w:tcPr>
          <w:p w14:paraId="447E700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33,860</w:t>
            </w:r>
          </w:p>
        </w:tc>
        <w:tc>
          <w:tcPr>
            <w:tcW w:w="1247" w:type="dxa"/>
          </w:tcPr>
          <w:p w14:paraId="419C979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2402.5</w:t>
            </w:r>
          </w:p>
        </w:tc>
        <w:tc>
          <w:tcPr>
            <w:tcW w:w="1027" w:type="dxa"/>
          </w:tcPr>
          <w:p w14:paraId="2F6FFD3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7651981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21.4*</w:t>
            </w:r>
          </w:p>
        </w:tc>
        <w:tc>
          <w:tcPr>
            <w:tcW w:w="1302" w:type="dxa"/>
          </w:tcPr>
          <w:p w14:paraId="3343BEC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8,513,702</w:t>
            </w:r>
          </w:p>
        </w:tc>
        <w:tc>
          <w:tcPr>
            <w:tcW w:w="1513" w:type="dxa"/>
          </w:tcPr>
          <w:p w14:paraId="48F9F89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3,545</w:t>
            </w:r>
          </w:p>
        </w:tc>
        <w:tc>
          <w:tcPr>
            <w:tcW w:w="1075" w:type="dxa"/>
          </w:tcPr>
          <w:p w14:paraId="38C3543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bookmarkEnd w:id="3"/>
      <w:tr w:rsidR="00F6371C" w:rsidRPr="001238E6" w14:paraId="3E802774" w14:textId="77777777" w:rsidTr="00A677AD">
        <w:tc>
          <w:tcPr>
            <w:tcW w:w="916" w:type="dxa"/>
          </w:tcPr>
          <w:p w14:paraId="222B903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2002</w:t>
            </w:r>
          </w:p>
        </w:tc>
        <w:tc>
          <w:tcPr>
            <w:tcW w:w="1204" w:type="dxa"/>
          </w:tcPr>
          <w:p w14:paraId="7C4864D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34,977</w:t>
            </w:r>
          </w:p>
        </w:tc>
        <w:tc>
          <w:tcPr>
            <w:tcW w:w="1247" w:type="dxa"/>
          </w:tcPr>
          <w:p w14:paraId="0050BA2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2544.4</w:t>
            </w:r>
          </w:p>
        </w:tc>
        <w:tc>
          <w:tcPr>
            <w:tcW w:w="1027" w:type="dxa"/>
          </w:tcPr>
          <w:p w14:paraId="34018F4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3AE28A5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w:t>
            </w:r>
          </w:p>
        </w:tc>
        <w:tc>
          <w:tcPr>
            <w:tcW w:w="1302" w:type="dxa"/>
          </w:tcPr>
          <w:p w14:paraId="1FE1CA8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9,550,683</w:t>
            </w:r>
          </w:p>
        </w:tc>
        <w:tc>
          <w:tcPr>
            <w:tcW w:w="1513" w:type="dxa"/>
          </w:tcPr>
          <w:p w14:paraId="34245DB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3,765</w:t>
            </w:r>
          </w:p>
        </w:tc>
        <w:tc>
          <w:tcPr>
            <w:tcW w:w="1075" w:type="dxa"/>
          </w:tcPr>
          <w:p w14:paraId="722CDF5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$2,329*</w:t>
            </w:r>
          </w:p>
        </w:tc>
      </w:tr>
      <w:tr w:rsidR="00F6371C" w:rsidRPr="001238E6" w14:paraId="7F775E1C" w14:textId="77777777" w:rsidTr="00A677AD">
        <w:tc>
          <w:tcPr>
            <w:tcW w:w="916" w:type="dxa"/>
          </w:tcPr>
          <w:p w14:paraId="55765EE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2003</w:t>
            </w:r>
          </w:p>
        </w:tc>
        <w:tc>
          <w:tcPr>
            <w:tcW w:w="1204" w:type="dxa"/>
          </w:tcPr>
          <w:p w14:paraId="39230AD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35,815</w:t>
            </w:r>
          </w:p>
        </w:tc>
        <w:tc>
          <w:tcPr>
            <w:tcW w:w="1247" w:type="dxa"/>
          </w:tcPr>
          <w:p w14:paraId="10630AC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2681.1</w:t>
            </w:r>
          </w:p>
        </w:tc>
        <w:tc>
          <w:tcPr>
            <w:tcW w:w="1027" w:type="dxa"/>
          </w:tcPr>
          <w:p w14:paraId="42A0809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227282C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18.39**</w:t>
            </w:r>
          </w:p>
        </w:tc>
        <w:tc>
          <w:tcPr>
            <w:tcW w:w="1302" w:type="dxa"/>
          </w:tcPr>
          <w:p w14:paraId="1E0F657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10,069,628</w:t>
            </w:r>
          </w:p>
        </w:tc>
        <w:tc>
          <w:tcPr>
            <w:tcW w:w="1513" w:type="dxa"/>
          </w:tcPr>
          <w:p w14:paraId="4FB4F61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3,770</w:t>
            </w:r>
          </w:p>
        </w:tc>
        <w:tc>
          <w:tcPr>
            <w:tcW w:w="1075" w:type="dxa"/>
          </w:tcPr>
          <w:p w14:paraId="6C51214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3DCA6424" w14:textId="77777777" w:rsidTr="00A677AD">
        <w:tc>
          <w:tcPr>
            <w:tcW w:w="916" w:type="dxa"/>
          </w:tcPr>
          <w:p w14:paraId="216261F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2004</w:t>
            </w:r>
          </w:p>
        </w:tc>
        <w:tc>
          <w:tcPr>
            <w:tcW w:w="1204" w:type="dxa"/>
          </w:tcPr>
          <w:p w14:paraId="56551C1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36,345</w:t>
            </w:r>
          </w:p>
        </w:tc>
        <w:tc>
          <w:tcPr>
            <w:tcW w:w="1247" w:type="dxa"/>
          </w:tcPr>
          <w:p w14:paraId="1A22A22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2835.6</w:t>
            </w:r>
          </w:p>
        </w:tc>
        <w:tc>
          <w:tcPr>
            <w:tcW w:w="1027" w:type="dxa"/>
          </w:tcPr>
          <w:p w14:paraId="3DB2795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02E5148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18.0**</w:t>
            </w:r>
          </w:p>
        </w:tc>
        <w:tc>
          <w:tcPr>
            <w:tcW w:w="1302" w:type="dxa"/>
          </w:tcPr>
          <w:p w14:paraId="2950914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11,402,560</w:t>
            </w:r>
          </w:p>
        </w:tc>
        <w:tc>
          <w:tcPr>
            <w:tcW w:w="1513" w:type="dxa"/>
          </w:tcPr>
          <w:p w14:paraId="12E2004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4,039</w:t>
            </w:r>
          </w:p>
        </w:tc>
        <w:tc>
          <w:tcPr>
            <w:tcW w:w="1075" w:type="dxa"/>
          </w:tcPr>
          <w:p w14:paraId="03325A9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25F99711" w14:textId="77777777" w:rsidTr="00A677AD">
        <w:tc>
          <w:tcPr>
            <w:tcW w:w="916" w:type="dxa"/>
          </w:tcPr>
          <w:p w14:paraId="18709AA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2005</w:t>
            </w:r>
          </w:p>
        </w:tc>
        <w:tc>
          <w:tcPr>
            <w:tcW w:w="1204" w:type="dxa"/>
          </w:tcPr>
          <w:p w14:paraId="32E93CB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36,685</w:t>
            </w:r>
          </w:p>
        </w:tc>
        <w:tc>
          <w:tcPr>
            <w:tcW w:w="1247" w:type="dxa"/>
          </w:tcPr>
          <w:p w14:paraId="38CB796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2975.6</w:t>
            </w:r>
          </w:p>
        </w:tc>
        <w:tc>
          <w:tcPr>
            <w:tcW w:w="1027" w:type="dxa"/>
          </w:tcPr>
          <w:p w14:paraId="70FDF38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w:t>
            </w:r>
          </w:p>
        </w:tc>
        <w:tc>
          <w:tcPr>
            <w:tcW w:w="1066" w:type="dxa"/>
          </w:tcPr>
          <w:p w14:paraId="5973A2C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18.21**</w:t>
            </w:r>
          </w:p>
        </w:tc>
        <w:tc>
          <w:tcPr>
            <w:tcW w:w="1302" w:type="dxa"/>
          </w:tcPr>
          <w:p w14:paraId="4439BE4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12,779,158</w:t>
            </w:r>
          </w:p>
        </w:tc>
        <w:tc>
          <w:tcPr>
            <w:tcW w:w="1513" w:type="dxa"/>
          </w:tcPr>
          <w:p w14:paraId="7645BD4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4,314</w:t>
            </w:r>
          </w:p>
        </w:tc>
        <w:tc>
          <w:tcPr>
            <w:tcW w:w="1075" w:type="dxa"/>
          </w:tcPr>
          <w:p w14:paraId="6C7A2C1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$2,366*</w:t>
            </w:r>
          </w:p>
        </w:tc>
      </w:tr>
      <w:tr w:rsidR="00F6371C" w:rsidRPr="001238E6" w14:paraId="74FCE1CD" w14:textId="77777777" w:rsidTr="00A677AD">
        <w:tc>
          <w:tcPr>
            <w:tcW w:w="916" w:type="dxa"/>
          </w:tcPr>
          <w:p w14:paraId="732529A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2006</w:t>
            </w:r>
          </w:p>
        </w:tc>
        <w:tc>
          <w:tcPr>
            <w:tcW w:w="1204" w:type="dxa"/>
          </w:tcPr>
          <w:p w14:paraId="73BB307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35,647</w:t>
            </w:r>
          </w:p>
        </w:tc>
        <w:tc>
          <w:tcPr>
            <w:tcW w:w="1247" w:type="dxa"/>
          </w:tcPr>
          <w:p w14:paraId="6F3F7F4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3026.2</w:t>
            </w:r>
          </w:p>
        </w:tc>
        <w:tc>
          <w:tcPr>
            <w:tcW w:w="1027" w:type="dxa"/>
          </w:tcPr>
          <w:p w14:paraId="7202A13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w:t>
            </w:r>
          </w:p>
        </w:tc>
        <w:tc>
          <w:tcPr>
            <w:tcW w:w="1066" w:type="dxa"/>
          </w:tcPr>
          <w:p w14:paraId="69F0379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18.45**</w:t>
            </w:r>
          </w:p>
        </w:tc>
        <w:tc>
          <w:tcPr>
            <w:tcW w:w="1302" w:type="dxa"/>
          </w:tcPr>
          <w:p w14:paraId="3F90752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13,912,750</w:t>
            </w:r>
          </w:p>
        </w:tc>
        <w:tc>
          <w:tcPr>
            <w:tcW w:w="1513" w:type="dxa"/>
          </w:tcPr>
          <w:p w14:paraId="23EABA2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4,619</w:t>
            </w:r>
          </w:p>
        </w:tc>
        <w:tc>
          <w:tcPr>
            <w:tcW w:w="1075" w:type="dxa"/>
          </w:tcPr>
          <w:p w14:paraId="7EF415F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607F088C" w14:textId="77777777" w:rsidTr="00A677AD">
        <w:tc>
          <w:tcPr>
            <w:tcW w:w="916" w:type="dxa"/>
          </w:tcPr>
          <w:p w14:paraId="246F739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2007</w:t>
            </w:r>
          </w:p>
        </w:tc>
        <w:tc>
          <w:tcPr>
            <w:tcW w:w="1204" w:type="dxa"/>
          </w:tcPr>
          <w:p w14:paraId="62B1C33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35,490</w:t>
            </w:r>
          </w:p>
        </w:tc>
        <w:tc>
          <w:tcPr>
            <w:tcW w:w="1247" w:type="dxa"/>
          </w:tcPr>
          <w:p w14:paraId="589AF5A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3099.5</w:t>
            </w:r>
          </w:p>
        </w:tc>
        <w:tc>
          <w:tcPr>
            <w:tcW w:w="1027" w:type="dxa"/>
          </w:tcPr>
          <w:p w14:paraId="4BCE543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w:t>
            </w:r>
          </w:p>
        </w:tc>
        <w:tc>
          <w:tcPr>
            <w:tcW w:w="1066" w:type="dxa"/>
          </w:tcPr>
          <w:p w14:paraId="4580BDC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18.19**</w:t>
            </w:r>
          </w:p>
        </w:tc>
        <w:tc>
          <w:tcPr>
            <w:tcW w:w="1302" w:type="dxa"/>
          </w:tcPr>
          <w:p w14:paraId="76FE782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15,565,441</w:t>
            </w:r>
          </w:p>
        </w:tc>
        <w:tc>
          <w:tcPr>
            <w:tcW w:w="1513" w:type="dxa"/>
          </w:tcPr>
          <w:p w14:paraId="1B5454B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5,046</w:t>
            </w:r>
          </w:p>
        </w:tc>
        <w:tc>
          <w:tcPr>
            <w:tcW w:w="1075" w:type="dxa"/>
          </w:tcPr>
          <w:p w14:paraId="0D430E0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$2,566*</w:t>
            </w:r>
          </w:p>
        </w:tc>
      </w:tr>
      <w:tr w:rsidR="00F6371C" w:rsidRPr="001238E6" w14:paraId="5F166A2B" w14:textId="77777777" w:rsidTr="00A677AD">
        <w:tc>
          <w:tcPr>
            <w:tcW w:w="916" w:type="dxa"/>
          </w:tcPr>
          <w:p w14:paraId="0477DE6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2008</w:t>
            </w:r>
          </w:p>
        </w:tc>
        <w:tc>
          <w:tcPr>
            <w:tcW w:w="1204" w:type="dxa"/>
          </w:tcPr>
          <w:p w14:paraId="059C768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35,320</w:t>
            </w:r>
          </w:p>
        </w:tc>
        <w:tc>
          <w:tcPr>
            <w:tcW w:w="1247" w:type="dxa"/>
          </w:tcPr>
          <w:p w14:paraId="5E7AFF3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3171.6</w:t>
            </w:r>
          </w:p>
        </w:tc>
        <w:tc>
          <w:tcPr>
            <w:tcW w:w="1027" w:type="dxa"/>
          </w:tcPr>
          <w:p w14:paraId="2F9DBE5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w:t>
            </w:r>
          </w:p>
        </w:tc>
        <w:tc>
          <w:tcPr>
            <w:tcW w:w="1066" w:type="dxa"/>
          </w:tcPr>
          <w:p w14:paraId="519BF5E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19.1**</w:t>
            </w:r>
          </w:p>
        </w:tc>
        <w:tc>
          <w:tcPr>
            <w:tcW w:w="1302" w:type="dxa"/>
          </w:tcPr>
          <w:p w14:paraId="6734B69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16,872,735</w:t>
            </w:r>
          </w:p>
        </w:tc>
        <w:tc>
          <w:tcPr>
            <w:tcW w:w="1513" w:type="dxa"/>
          </w:tcPr>
          <w:p w14:paraId="6C4EAB3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5,361</w:t>
            </w:r>
          </w:p>
        </w:tc>
        <w:tc>
          <w:tcPr>
            <w:tcW w:w="1075" w:type="dxa"/>
          </w:tcPr>
          <w:p w14:paraId="210BDC7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$2,705*</w:t>
            </w:r>
          </w:p>
        </w:tc>
      </w:tr>
      <w:tr w:rsidR="00F6371C" w:rsidRPr="001238E6" w14:paraId="0D3C2EA8" w14:textId="77777777" w:rsidTr="00A677AD">
        <w:tc>
          <w:tcPr>
            <w:tcW w:w="916" w:type="dxa"/>
          </w:tcPr>
          <w:p w14:paraId="79F3EDC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2009</w:t>
            </w:r>
          </w:p>
        </w:tc>
        <w:tc>
          <w:tcPr>
            <w:tcW w:w="1204" w:type="dxa"/>
          </w:tcPr>
          <w:p w14:paraId="1DF4E1C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35,360</w:t>
            </w:r>
          </w:p>
        </w:tc>
        <w:tc>
          <w:tcPr>
            <w:tcW w:w="1247" w:type="dxa"/>
          </w:tcPr>
          <w:p w14:paraId="5687437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3281.1</w:t>
            </w:r>
          </w:p>
        </w:tc>
        <w:tc>
          <w:tcPr>
            <w:tcW w:w="1027" w:type="dxa"/>
          </w:tcPr>
          <w:p w14:paraId="1E34562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40</w:t>
            </w:r>
          </w:p>
        </w:tc>
        <w:tc>
          <w:tcPr>
            <w:tcW w:w="1066" w:type="dxa"/>
          </w:tcPr>
          <w:p w14:paraId="58DA87F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18.7**</w:t>
            </w:r>
          </w:p>
        </w:tc>
        <w:tc>
          <w:tcPr>
            <w:tcW w:w="1302" w:type="dxa"/>
          </w:tcPr>
          <w:p w14:paraId="529EC82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18,733,108</w:t>
            </w:r>
          </w:p>
        </w:tc>
        <w:tc>
          <w:tcPr>
            <w:tcW w:w="1513" w:type="dxa"/>
          </w:tcPr>
          <w:p w14:paraId="307052B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5,747</w:t>
            </w:r>
          </w:p>
        </w:tc>
        <w:tc>
          <w:tcPr>
            <w:tcW w:w="1075" w:type="dxa"/>
          </w:tcPr>
          <w:p w14:paraId="6021D6D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7BF226C1" w14:textId="77777777" w:rsidTr="00A677AD">
        <w:tc>
          <w:tcPr>
            <w:tcW w:w="916" w:type="dxa"/>
          </w:tcPr>
          <w:p w14:paraId="58D6A51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2010</w:t>
            </w:r>
          </w:p>
        </w:tc>
        <w:tc>
          <w:tcPr>
            <w:tcW w:w="1204" w:type="dxa"/>
          </w:tcPr>
          <w:p w14:paraId="3D8951A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35,910</w:t>
            </w:r>
          </w:p>
        </w:tc>
        <w:tc>
          <w:tcPr>
            <w:tcW w:w="1247" w:type="dxa"/>
          </w:tcPr>
          <w:p w14:paraId="580F5B9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3434.4</w:t>
            </w:r>
          </w:p>
        </w:tc>
        <w:tc>
          <w:tcPr>
            <w:tcW w:w="1027" w:type="dxa"/>
          </w:tcPr>
          <w:p w14:paraId="603AD3A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w:t>
            </w:r>
          </w:p>
        </w:tc>
        <w:tc>
          <w:tcPr>
            <w:tcW w:w="1066" w:type="dxa"/>
          </w:tcPr>
          <w:p w14:paraId="4BD789C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18.0**</w:t>
            </w:r>
          </w:p>
        </w:tc>
        <w:tc>
          <w:tcPr>
            <w:tcW w:w="1302" w:type="dxa"/>
          </w:tcPr>
          <w:p w14:paraId="26CDBA1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19,407,218</w:t>
            </w:r>
          </w:p>
        </w:tc>
        <w:tc>
          <w:tcPr>
            <w:tcW w:w="1513" w:type="dxa"/>
          </w:tcPr>
          <w:p w14:paraId="3D69B90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5,688</w:t>
            </w:r>
          </w:p>
        </w:tc>
        <w:tc>
          <w:tcPr>
            <w:tcW w:w="1075" w:type="dxa"/>
          </w:tcPr>
          <w:p w14:paraId="1BED5C1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72C8EBA5" w14:textId="77777777" w:rsidTr="00A677AD">
        <w:tc>
          <w:tcPr>
            <w:tcW w:w="916" w:type="dxa"/>
          </w:tcPr>
          <w:p w14:paraId="13C5C2DC" w14:textId="77777777" w:rsidR="001238E6" w:rsidRPr="001238E6" w:rsidRDefault="001238E6" w:rsidP="001238E6">
            <w:pPr>
              <w:rPr>
                <w:rFonts w:ascii="Times New Roman" w:eastAsiaTheme="minorHAnsi" w:hAnsi="Times New Roman"/>
                <w:sz w:val="20"/>
              </w:rPr>
            </w:pPr>
            <w:bookmarkStart w:id="6" w:name="_Hlk93921414"/>
            <w:bookmarkEnd w:id="4"/>
            <w:r w:rsidRPr="001238E6">
              <w:rPr>
                <w:rFonts w:ascii="Times New Roman" w:eastAsiaTheme="minorHAnsi" w:hAnsi="Times New Roman"/>
                <w:sz w:val="20"/>
              </w:rPr>
              <w:t>2011</w:t>
            </w:r>
          </w:p>
        </w:tc>
        <w:tc>
          <w:tcPr>
            <w:tcW w:w="1204" w:type="dxa"/>
          </w:tcPr>
          <w:p w14:paraId="24D1386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36,458</w:t>
            </w:r>
          </w:p>
        </w:tc>
        <w:tc>
          <w:tcPr>
            <w:tcW w:w="1247" w:type="dxa"/>
          </w:tcPr>
          <w:p w14:paraId="096EAAE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3463.9</w:t>
            </w:r>
          </w:p>
        </w:tc>
        <w:tc>
          <w:tcPr>
            <w:tcW w:w="1027" w:type="dxa"/>
          </w:tcPr>
          <w:p w14:paraId="759E482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36</w:t>
            </w:r>
          </w:p>
        </w:tc>
        <w:tc>
          <w:tcPr>
            <w:tcW w:w="1066" w:type="dxa"/>
          </w:tcPr>
          <w:p w14:paraId="54443A1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17.0**</w:t>
            </w:r>
          </w:p>
        </w:tc>
        <w:tc>
          <w:tcPr>
            <w:tcW w:w="1302" w:type="dxa"/>
          </w:tcPr>
          <w:p w14:paraId="587590D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18,362,264</w:t>
            </w:r>
          </w:p>
        </w:tc>
        <w:tc>
          <w:tcPr>
            <w:tcW w:w="1513" w:type="dxa"/>
          </w:tcPr>
          <w:p w14:paraId="31429E6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5,357</w:t>
            </w:r>
          </w:p>
        </w:tc>
        <w:tc>
          <w:tcPr>
            <w:tcW w:w="1075" w:type="dxa"/>
          </w:tcPr>
          <w:p w14:paraId="63C40A3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$2,916*</w:t>
            </w:r>
          </w:p>
        </w:tc>
      </w:tr>
      <w:tr w:rsidR="00F6371C" w:rsidRPr="001238E6" w14:paraId="7BA26CCD" w14:textId="77777777" w:rsidTr="00A677AD">
        <w:tc>
          <w:tcPr>
            <w:tcW w:w="916" w:type="dxa"/>
          </w:tcPr>
          <w:p w14:paraId="210508F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2012</w:t>
            </w:r>
          </w:p>
        </w:tc>
        <w:tc>
          <w:tcPr>
            <w:tcW w:w="1204" w:type="dxa"/>
          </w:tcPr>
          <w:p w14:paraId="59358E1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37,214</w:t>
            </w:r>
          </w:p>
        </w:tc>
        <w:tc>
          <w:tcPr>
            <w:tcW w:w="1247" w:type="dxa"/>
          </w:tcPr>
          <w:p w14:paraId="769A236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3459.6</w:t>
            </w:r>
          </w:p>
        </w:tc>
        <w:tc>
          <w:tcPr>
            <w:tcW w:w="1027" w:type="dxa"/>
          </w:tcPr>
          <w:p w14:paraId="124D5F6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w:t>
            </w:r>
          </w:p>
        </w:tc>
        <w:tc>
          <w:tcPr>
            <w:tcW w:w="1066" w:type="dxa"/>
          </w:tcPr>
          <w:p w14:paraId="3D52517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17.0**</w:t>
            </w:r>
          </w:p>
        </w:tc>
        <w:tc>
          <w:tcPr>
            <w:tcW w:w="1302" w:type="dxa"/>
          </w:tcPr>
          <w:p w14:paraId="1A0CABB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18,025,554</w:t>
            </w:r>
          </w:p>
        </w:tc>
        <w:tc>
          <w:tcPr>
            <w:tcW w:w="1513" w:type="dxa"/>
          </w:tcPr>
          <w:p w14:paraId="7324184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5,256</w:t>
            </w:r>
          </w:p>
        </w:tc>
        <w:tc>
          <w:tcPr>
            <w:tcW w:w="1075" w:type="dxa"/>
          </w:tcPr>
          <w:p w14:paraId="4AC4D16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N/A</w:t>
            </w:r>
          </w:p>
        </w:tc>
      </w:tr>
      <w:tr w:rsidR="00F6371C" w:rsidRPr="001238E6" w14:paraId="125340BE" w14:textId="77777777" w:rsidTr="00A677AD">
        <w:tc>
          <w:tcPr>
            <w:tcW w:w="916" w:type="dxa"/>
          </w:tcPr>
          <w:p w14:paraId="2134F58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2013</w:t>
            </w:r>
          </w:p>
        </w:tc>
        <w:tc>
          <w:tcPr>
            <w:tcW w:w="1204" w:type="dxa"/>
          </w:tcPr>
          <w:p w14:paraId="07BB014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37,613</w:t>
            </w:r>
          </w:p>
        </w:tc>
        <w:tc>
          <w:tcPr>
            <w:tcW w:w="1247" w:type="dxa"/>
          </w:tcPr>
          <w:p w14:paraId="2C2BAE3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3452.0</w:t>
            </w:r>
          </w:p>
        </w:tc>
        <w:tc>
          <w:tcPr>
            <w:tcW w:w="1027" w:type="dxa"/>
          </w:tcPr>
          <w:p w14:paraId="22C870F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w:t>
            </w:r>
          </w:p>
        </w:tc>
        <w:tc>
          <w:tcPr>
            <w:tcW w:w="1066" w:type="dxa"/>
          </w:tcPr>
          <w:p w14:paraId="7EA38C6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16.79</w:t>
            </w:r>
          </w:p>
        </w:tc>
        <w:tc>
          <w:tcPr>
            <w:tcW w:w="1302" w:type="dxa"/>
          </w:tcPr>
          <w:p w14:paraId="634E13D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17,924,989</w:t>
            </w:r>
          </w:p>
        </w:tc>
        <w:tc>
          <w:tcPr>
            <w:tcW w:w="1513" w:type="dxa"/>
          </w:tcPr>
          <w:p w14:paraId="455D44B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5,193</w:t>
            </w:r>
          </w:p>
        </w:tc>
        <w:tc>
          <w:tcPr>
            <w:tcW w:w="1075" w:type="dxa"/>
          </w:tcPr>
          <w:p w14:paraId="262270E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$2,687</w:t>
            </w:r>
          </w:p>
        </w:tc>
      </w:tr>
      <w:tr w:rsidR="00F6371C" w:rsidRPr="001238E6" w14:paraId="54A89715" w14:textId="77777777" w:rsidTr="00A677AD">
        <w:tc>
          <w:tcPr>
            <w:tcW w:w="916" w:type="dxa"/>
          </w:tcPr>
          <w:p w14:paraId="1EE76A2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2014</w:t>
            </w:r>
          </w:p>
        </w:tc>
        <w:tc>
          <w:tcPr>
            <w:tcW w:w="1204" w:type="dxa"/>
          </w:tcPr>
          <w:p w14:paraId="2EE1202F"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37,790</w:t>
            </w:r>
          </w:p>
        </w:tc>
        <w:tc>
          <w:tcPr>
            <w:tcW w:w="1247" w:type="dxa"/>
          </w:tcPr>
          <w:p w14:paraId="0D9C6AC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3417.2</w:t>
            </w:r>
          </w:p>
        </w:tc>
        <w:tc>
          <w:tcPr>
            <w:tcW w:w="1027" w:type="dxa"/>
          </w:tcPr>
          <w:p w14:paraId="44B8A3D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w:t>
            </w:r>
          </w:p>
        </w:tc>
        <w:tc>
          <w:tcPr>
            <w:tcW w:w="1066" w:type="dxa"/>
          </w:tcPr>
          <w:p w14:paraId="7A714EC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16.66</w:t>
            </w:r>
          </w:p>
        </w:tc>
        <w:tc>
          <w:tcPr>
            <w:tcW w:w="1302" w:type="dxa"/>
          </w:tcPr>
          <w:p w14:paraId="67E74D6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17,736,862</w:t>
            </w:r>
          </w:p>
        </w:tc>
        <w:tc>
          <w:tcPr>
            <w:tcW w:w="1513" w:type="dxa"/>
          </w:tcPr>
          <w:p w14:paraId="2F915C0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5,190</w:t>
            </w:r>
          </w:p>
        </w:tc>
        <w:tc>
          <w:tcPr>
            <w:tcW w:w="1075" w:type="dxa"/>
          </w:tcPr>
          <w:p w14:paraId="7684832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2,703</w:t>
            </w:r>
          </w:p>
        </w:tc>
      </w:tr>
      <w:tr w:rsidR="00F6371C" w:rsidRPr="001238E6" w14:paraId="533F37B3" w14:textId="77777777" w:rsidTr="00A677AD">
        <w:tc>
          <w:tcPr>
            <w:tcW w:w="916" w:type="dxa"/>
          </w:tcPr>
          <w:p w14:paraId="62B8DCB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2015</w:t>
            </w:r>
          </w:p>
        </w:tc>
        <w:tc>
          <w:tcPr>
            <w:tcW w:w="1204" w:type="dxa"/>
          </w:tcPr>
          <w:p w14:paraId="68F83B6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38,025</w:t>
            </w:r>
          </w:p>
        </w:tc>
        <w:tc>
          <w:tcPr>
            <w:tcW w:w="1247" w:type="dxa"/>
          </w:tcPr>
          <w:p w14:paraId="160B15D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3454.4</w:t>
            </w:r>
          </w:p>
        </w:tc>
        <w:tc>
          <w:tcPr>
            <w:tcW w:w="1027" w:type="dxa"/>
          </w:tcPr>
          <w:p w14:paraId="4250A60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w:t>
            </w:r>
          </w:p>
        </w:tc>
        <w:tc>
          <w:tcPr>
            <w:tcW w:w="1066" w:type="dxa"/>
          </w:tcPr>
          <w:p w14:paraId="2AFE2FB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16.60</w:t>
            </w:r>
          </w:p>
        </w:tc>
        <w:tc>
          <w:tcPr>
            <w:tcW w:w="1302" w:type="dxa"/>
          </w:tcPr>
          <w:p w14:paraId="747A2D4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18,203,863</w:t>
            </w:r>
          </w:p>
        </w:tc>
        <w:tc>
          <w:tcPr>
            <w:tcW w:w="1513" w:type="dxa"/>
          </w:tcPr>
          <w:p w14:paraId="0E28629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5,280</w:t>
            </w:r>
          </w:p>
        </w:tc>
        <w:tc>
          <w:tcPr>
            <w:tcW w:w="1075" w:type="dxa"/>
          </w:tcPr>
          <w:p w14:paraId="3E5B650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2,762</w:t>
            </w:r>
          </w:p>
        </w:tc>
      </w:tr>
      <w:tr w:rsidR="00F6371C" w:rsidRPr="001238E6" w14:paraId="5BBEB755" w14:textId="77777777" w:rsidTr="00A677AD">
        <w:tc>
          <w:tcPr>
            <w:tcW w:w="916" w:type="dxa"/>
          </w:tcPr>
          <w:p w14:paraId="3B48A16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2016</w:t>
            </w:r>
          </w:p>
        </w:tc>
        <w:tc>
          <w:tcPr>
            <w:tcW w:w="1204" w:type="dxa"/>
          </w:tcPr>
          <w:p w14:paraId="6C658C71"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38,610</w:t>
            </w:r>
          </w:p>
        </w:tc>
        <w:tc>
          <w:tcPr>
            <w:tcW w:w="1247" w:type="dxa"/>
          </w:tcPr>
          <w:p w14:paraId="0EC9AD9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3451.5</w:t>
            </w:r>
          </w:p>
        </w:tc>
        <w:tc>
          <w:tcPr>
            <w:tcW w:w="1027" w:type="dxa"/>
          </w:tcPr>
          <w:p w14:paraId="6A15019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42EA3314"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16.63</w:t>
            </w:r>
          </w:p>
        </w:tc>
        <w:tc>
          <w:tcPr>
            <w:tcW w:w="1302" w:type="dxa"/>
          </w:tcPr>
          <w:p w14:paraId="2DB6557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18,117,018</w:t>
            </w:r>
          </w:p>
        </w:tc>
        <w:tc>
          <w:tcPr>
            <w:tcW w:w="1513" w:type="dxa"/>
          </w:tcPr>
          <w:p w14:paraId="46F98FD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5,249</w:t>
            </w:r>
          </w:p>
        </w:tc>
        <w:tc>
          <w:tcPr>
            <w:tcW w:w="1075" w:type="dxa"/>
          </w:tcPr>
          <w:p w14:paraId="6F10349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2,780</w:t>
            </w:r>
          </w:p>
        </w:tc>
      </w:tr>
      <w:tr w:rsidR="00F6371C" w:rsidRPr="001238E6" w14:paraId="20E1F399" w14:textId="77777777" w:rsidTr="00A677AD">
        <w:tc>
          <w:tcPr>
            <w:tcW w:w="916" w:type="dxa"/>
          </w:tcPr>
          <w:p w14:paraId="3E8C2B7E"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2017</w:t>
            </w:r>
          </w:p>
        </w:tc>
        <w:tc>
          <w:tcPr>
            <w:tcW w:w="1204" w:type="dxa"/>
          </w:tcPr>
          <w:p w14:paraId="226D6508"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38,668</w:t>
            </w:r>
          </w:p>
        </w:tc>
        <w:tc>
          <w:tcPr>
            <w:tcW w:w="1247" w:type="dxa"/>
          </w:tcPr>
          <w:p w14:paraId="59C998B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3392.9</w:t>
            </w:r>
          </w:p>
        </w:tc>
        <w:tc>
          <w:tcPr>
            <w:tcW w:w="1027" w:type="dxa"/>
          </w:tcPr>
          <w:p w14:paraId="25F519F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46F134D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16.60</w:t>
            </w:r>
          </w:p>
        </w:tc>
        <w:tc>
          <w:tcPr>
            <w:tcW w:w="1302" w:type="dxa"/>
          </w:tcPr>
          <w:p w14:paraId="2E85642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17,830,844</w:t>
            </w:r>
          </w:p>
        </w:tc>
        <w:tc>
          <w:tcPr>
            <w:tcW w:w="1513" w:type="dxa"/>
          </w:tcPr>
          <w:p w14:paraId="4E60785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5,255</w:t>
            </w:r>
          </w:p>
        </w:tc>
        <w:tc>
          <w:tcPr>
            <w:tcW w:w="1075" w:type="dxa"/>
          </w:tcPr>
          <w:p w14:paraId="65F5C70C"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2,823</w:t>
            </w:r>
          </w:p>
        </w:tc>
      </w:tr>
      <w:tr w:rsidR="00F6371C" w:rsidRPr="001238E6" w14:paraId="7D91F1DD" w14:textId="77777777" w:rsidTr="00A677AD">
        <w:tc>
          <w:tcPr>
            <w:tcW w:w="916" w:type="dxa"/>
          </w:tcPr>
          <w:p w14:paraId="174AFF1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2018</w:t>
            </w:r>
          </w:p>
        </w:tc>
        <w:tc>
          <w:tcPr>
            <w:tcW w:w="1204" w:type="dxa"/>
          </w:tcPr>
          <w:p w14:paraId="3327D16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38,665</w:t>
            </w:r>
          </w:p>
        </w:tc>
        <w:tc>
          <w:tcPr>
            <w:tcW w:w="1247" w:type="dxa"/>
          </w:tcPr>
          <w:p w14:paraId="1999D016"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3365.9</w:t>
            </w:r>
          </w:p>
        </w:tc>
        <w:tc>
          <w:tcPr>
            <w:tcW w:w="1027" w:type="dxa"/>
          </w:tcPr>
          <w:p w14:paraId="3CD0AA25"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2C1C123A"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16.67</w:t>
            </w:r>
          </w:p>
        </w:tc>
        <w:tc>
          <w:tcPr>
            <w:tcW w:w="1302" w:type="dxa"/>
          </w:tcPr>
          <w:p w14:paraId="4BF40B2B"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17,934,054</w:t>
            </w:r>
          </w:p>
        </w:tc>
        <w:tc>
          <w:tcPr>
            <w:tcW w:w="1513" w:type="dxa"/>
          </w:tcPr>
          <w:p w14:paraId="6C5D512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5,328</w:t>
            </w:r>
          </w:p>
        </w:tc>
        <w:tc>
          <w:tcPr>
            <w:tcW w:w="1075" w:type="dxa"/>
          </w:tcPr>
          <w:p w14:paraId="52FE3707"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2,876</w:t>
            </w:r>
          </w:p>
        </w:tc>
      </w:tr>
      <w:tr w:rsidR="00F6371C" w:rsidRPr="001238E6" w14:paraId="289E515A" w14:textId="77777777" w:rsidTr="00A677AD">
        <w:tc>
          <w:tcPr>
            <w:tcW w:w="916" w:type="dxa"/>
          </w:tcPr>
          <w:p w14:paraId="62F8A1D2"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2019</w:t>
            </w:r>
          </w:p>
        </w:tc>
        <w:tc>
          <w:tcPr>
            <w:tcW w:w="1204" w:type="dxa"/>
          </w:tcPr>
          <w:p w14:paraId="7764DCE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38,577</w:t>
            </w:r>
          </w:p>
        </w:tc>
        <w:tc>
          <w:tcPr>
            <w:tcW w:w="1247" w:type="dxa"/>
          </w:tcPr>
          <w:p w14:paraId="737BDEDD"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3281.4</w:t>
            </w:r>
          </w:p>
        </w:tc>
        <w:tc>
          <w:tcPr>
            <w:tcW w:w="1027" w:type="dxa"/>
          </w:tcPr>
          <w:p w14:paraId="7221A6D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31</w:t>
            </w:r>
          </w:p>
        </w:tc>
        <w:tc>
          <w:tcPr>
            <w:tcW w:w="1066" w:type="dxa"/>
          </w:tcPr>
          <w:p w14:paraId="10097460"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16.57</w:t>
            </w:r>
          </w:p>
        </w:tc>
        <w:tc>
          <w:tcPr>
            <w:tcW w:w="1302" w:type="dxa"/>
          </w:tcPr>
          <w:p w14:paraId="55C22F4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17,850,864</w:t>
            </w:r>
          </w:p>
        </w:tc>
        <w:tc>
          <w:tcPr>
            <w:tcW w:w="1513" w:type="dxa"/>
          </w:tcPr>
          <w:p w14:paraId="159BF383"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5,440</w:t>
            </w:r>
          </w:p>
        </w:tc>
        <w:tc>
          <w:tcPr>
            <w:tcW w:w="1075" w:type="dxa"/>
          </w:tcPr>
          <w:p w14:paraId="1AD997B9" w14:textId="77777777" w:rsidR="001238E6" w:rsidRPr="001238E6" w:rsidRDefault="001238E6" w:rsidP="001238E6">
            <w:pPr>
              <w:rPr>
                <w:rFonts w:ascii="Times New Roman" w:eastAsiaTheme="minorHAnsi" w:hAnsi="Times New Roman"/>
                <w:sz w:val="20"/>
              </w:rPr>
            </w:pPr>
            <w:r w:rsidRPr="001238E6">
              <w:rPr>
                <w:rFonts w:ascii="Times New Roman" w:eastAsiaTheme="minorHAnsi" w:hAnsi="Times New Roman"/>
                <w:sz w:val="20"/>
              </w:rPr>
              <w:t>2,952</w:t>
            </w:r>
          </w:p>
        </w:tc>
      </w:tr>
      <w:tr w:rsidR="00F6371C" w:rsidRPr="001238E6" w14:paraId="48995BBD" w14:textId="77777777" w:rsidTr="00A677AD">
        <w:tc>
          <w:tcPr>
            <w:tcW w:w="916" w:type="dxa"/>
          </w:tcPr>
          <w:p w14:paraId="641DFAD2" w14:textId="4BDF621B" w:rsidR="007C5B7E" w:rsidRPr="001238E6" w:rsidRDefault="007C5B7E" w:rsidP="001238E6">
            <w:pPr>
              <w:rPr>
                <w:rFonts w:ascii="Times New Roman" w:eastAsiaTheme="minorHAnsi" w:hAnsi="Times New Roman"/>
                <w:sz w:val="20"/>
              </w:rPr>
            </w:pPr>
            <w:r>
              <w:rPr>
                <w:rFonts w:ascii="Times New Roman" w:eastAsiaTheme="minorHAnsi" w:hAnsi="Times New Roman"/>
                <w:sz w:val="20"/>
              </w:rPr>
              <w:t>2020</w:t>
            </w:r>
            <w:r w:rsidR="00FD3933">
              <w:rPr>
                <w:rFonts w:ascii="Times New Roman" w:eastAsiaTheme="minorHAnsi" w:hAnsi="Times New Roman"/>
                <w:sz w:val="20"/>
              </w:rPr>
              <w:t>***</w:t>
            </w:r>
          </w:p>
        </w:tc>
        <w:tc>
          <w:tcPr>
            <w:tcW w:w="1204" w:type="dxa"/>
          </w:tcPr>
          <w:p w14:paraId="6D2C40C0" w14:textId="388D2DF2" w:rsidR="007C5B7E" w:rsidRPr="001238E6" w:rsidRDefault="00C42E8C" w:rsidP="001238E6">
            <w:pPr>
              <w:rPr>
                <w:rFonts w:ascii="Times New Roman" w:eastAsiaTheme="minorHAnsi" w:hAnsi="Times New Roman"/>
                <w:sz w:val="20"/>
              </w:rPr>
            </w:pPr>
            <w:r>
              <w:rPr>
                <w:rFonts w:ascii="Times New Roman" w:eastAsiaTheme="minorHAnsi" w:hAnsi="Times New Roman"/>
                <w:sz w:val="20"/>
              </w:rPr>
              <w:t>37.77</w:t>
            </w:r>
            <w:r w:rsidR="006960F7">
              <w:rPr>
                <w:rFonts w:ascii="Times New Roman" w:eastAsiaTheme="minorHAnsi" w:hAnsi="Times New Roman"/>
                <w:sz w:val="20"/>
              </w:rPr>
              <w:t>6</w:t>
            </w:r>
          </w:p>
        </w:tc>
        <w:tc>
          <w:tcPr>
            <w:tcW w:w="1247" w:type="dxa"/>
          </w:tcPr>
          <w:p w14:paraId="55BCE642" w14:textId="62AA11C1" w:rsidR="007C5B7E" w:rsidRPr="001238E6" w:rsidRDefault="006960F7" w:rsidP="001238E6">
            <w:pPr>
              <w:rPr>
                <w:rFonts w:ascii="Times New Roman" w:eastAsiaTheme="minorHAnsi" w:hAnsi="Times New Roman"/>
                <w:sz w:val="20"/>
              </w:rPr>
            </w:pPr>
            <w:r>
              <w:rPr>
                <w:rFonts w:ascii="Times New Roman" w:eastAsiaTheme="minorHAnsi" w:hAnsi="Times New Roman"/>
                <w:sz w:val="20"/>
              </w:rPr>
              <w:t>3054.5</w:t>
            </w:r>
          </w:p>
        </w:tc>
        <w:tc>
          <w:tcPr>
            <w:tcW w:w="1027" w:type="dxa"/>
          </w:tcPr>
          <w:p w14:paraId="4ADA4A04" w14:textId="6E2939EE" w:rsidR="007C5B7E" w:rsidRPr="001238E6" w:rsidRDefault="00D50472" w:rsidP="001238E6">
            <w:pPr>
              <w:rPr>
                <w:rFonts w:ascii="Times New Roman" w:eastAsiaTheme="minorHAnsi" w:hAnsi="Times New Roman"/>
                <w:sz w:val="20"/>
              </w:rPr>
            </w:pPr>
            <w:r>
              <w:rPr>
                <w:rFonts w:ascii="Times New Roman" w:eastAsiaTheme="minorHAnsi" w:hAnsi="Times New Roman"/>
                <w:sz w:val="20"/>
              </w:rPr>
              <w:t>27.57</w:t>
            </w:r>
          </w:p>
        </w:tc>
        <w:tc>
          <w:tcPr>
            <w:tcW w:w="1066" w:type="dxa"/>
          </w:tcPr>
          <w:p w14:paraId="335665B4" w14:textId="6C687C91" w:rsidR="007C5B7E" w:rsidRPr="001238E6" w:rsidRDefault="007B6125" w:rsidP="001238E6">
            <w:pPr>
              <w:rPr>
                <w:rFonts w:ascii="Times New Roman" w:eastAsiaTheme="minorHAnsi" w:hAnsi="Times New Roman"/>
                <w:sz w:val="20"/>
              </w:rPr>
            </w:pPr>
            <w:r>
              <w:rPr>
                <w:rFonts w:ascii="Times New Roman" w:eastAsiaTheme="minorHAnsi" w:hAnsi="Times New Roman"/>
                <w:sz w:val="20"/>
              </w:rPr>
              <w:t>9.27</w:t>
            </w:r>
          </w:p>
        </w:tc>
        <w:tc>
          <w:tcPr>
            <w:tcW w:w="1302" w:type="dxa"/>
          </w:tcPr>
          <w:p w14:paraId="14887399" w14:textId="27681962" w:rsidR="007C5B7E" w:rsidRPr="001238E6" w:rsidRDefault="007B6125" w:rsidP="001238E6">
            <w:pPr>
              <w:rPr>
                <w:rFonts w:ascii="Times New Roman" w:eastAsiaTheme="minorHAnsi" w:hAnsi="Times New Roman"/>
                <w:sz w:val="20"/>
              </w:rPr>
            </w:pPr>
            <w:r>
              <w:rPr>
                <w:rFonts w:ascii="Times New Roman" w:eastAsiaTheme="minorHAnsi" w:hAnsi="Times New Roman"/>
                <w:sz w:val="20"/>
              </w:rPr>
              <w:t>17,082,332</w:t>
            </w:r>
          </w:p>
        </w:tc>
        <w:tc>
          <w:tcPr>
            <w:tcW w:w="1513" w:type="dxa"/>
          </w:tcPr>
          <w:p w14:paraId="51C779D1" w14:textId="64216476" w:rsidR="007C5B7E" w:rsidRPr="001238E6" w:rsidRDefault="009E7762" w:rsidP="001238E6">
            <w:pPr>
              <w:rPr>
                <w:rFonts w:ascii="Times New Roman" w:eastAsiaTheme="minorHAnsi" w:hAnsi="Times New Roman"/>
                <w:sz w:val="20"/>
              </w:rPr>
            </w:pPr>
            <w:r>
              <w:rPr>
                <w:rFonts w:ascii="Times New Roman" w:eastAsiaTheme="minorHAnsi" w:hAnsi="Times New Roman"/>
                <w:sz w:val="20"/>
              </w:rPr>
              <w:t>5,592</w:t>
            </w:r>
          </w:p>
        </w:tc>
        <w:tc>
          <w:tcPr>
            <w:tcW w:w="1075" w:type="dxa"/>
          </w:tcPr>
          <w:p w14:paraId="6C991A78" w14:textId="27F75C77" w:rsidR="007C5B7E" w:rsidRPr="001238E6" w:rsidRDefault="009E7762" w:rsidP="001238E6">
            <w:pPr>
              <w:rPr>
                <w:rFonts w:ascii="Times New Roman" w:eastAsiaTheme="minorHAnsi" w:hAnsi="Times New Roman"/>
                <w:sz w:val="20"/>
              </w:rPr>
            </w:pPr>
            <w:r>
              <w:rPr>
                <w:rFonts w:ascii="Times New Roman" w:eastAsiaTheme="minorHAnsi" w:hAnsi="Times New Roman"/>
                <w:sz w:val="20"/>
              </w:rPr>
              <w:t>1881</w:t>
            </w:r>
          </w:p>
        </w:tc>
      </w:tr>
      <w:tr w:rsidR="00F6371C" w:rsidRPr="001238E6" w14:paraId="2A0C64ED" w14:textId="77777777" w:rsidTr="00A677AD">
        <w:tc>
          <w:tcPr>
            <w:tcW w:w="916" w:type="dxa"/>
          </w:tcPr>
          <w:p w14:paraId="25CC5E4F" w14:textId="78572230" w:rsidR="007C5B7E" w:rsidRPr="001238E6" w:rsidRDefault="007C5B7E" w:rsidP="001238E6">
            <w:pPr>
              <w:rPr>
                <w:rFonts w:ascii="Times New Roman" w:eastAsiaTheme="minorHAnsi" w:hAnsi="Times New Roman"/>
                <w:sz w:val="20"/>
              </w:rPr>
            </w:pPr>
            <w:r>
              <w:rPr>
                <w:rFonts w:ascii="Times New Roman" w:eastAsiaTheme="minorHAnsi" w:hAnsi="Times New Roman"/>
                <w:sz w:val="20"/>
              </w:rPr>
              <w:t>2021</w:t>
            </w:r>
            <w:r w:rsidR="00FD3933">
              <w:rPr>
                <w:rFonts w:ascii="Times New Roman" w:eastAsiaTheme="minorHAnsi" w:hAnsi="Times New Roman"/>
                <w:sz w:val="20"/>
              </w:rPr>
              <w:t>***</w:t>
            </w:r>
          </w:p>
        </w:tc>
        <w:tc>
          <w:tcPr>
            <w:tcW w:w="1204" w:type="dxa"/>
          </w:tcPr>
          <w:p w14:paraId="2C4AC5FB" w14:textId="2B3CEA8D" w:rsidR="007C5B7E" w:rsidRPr="001238E6" w:rsidRDefault="00407DE6" w:rsidP="001238E6">
            <w:pPr>
              <w:rPr>
                <w:rFonts w:ascii="Times New Roman" w:eastAsiaTheme="minorHAnsi" w:hAnsi="Times New Roman"/>
                <w:sz w:val="20"/>
              </w:rPr>
            </w:pPr>
            <w:r>
              <w:rPr>
                <w:rFonts w:ascii="Times New Roman" w:eastAsiaTheme="minorHAnsi" w:hAnsi="Times New Roman"/>
                <w:sz w:val="20"/>
              </w:rPr>
              <w:t>36.356</w:t>
            </w:r>
          </w:p>
        </w:tc>
        <w:tc>
          <w:tcPr>
            <w:tcW w:w="1247" w:type="dxa"/>
          </w:tcPr>
          <w:p w14:paraId="4B99FA63" w14:textId="029A2EBA" w:rsidR="007C5B7E" w:rsidRPr="001238E6" w:rsidRDefault="0047519D" w:rsidP="001238E6">
            <w:pPr>
              <w:rPr>
                <w:rFonts w:ascii="Times New Roman" w:eastAsiaTheme="minorHAnsi" w:hAnsi="Times New Roman"/>
                <w:sz w:val="20"/>
              </w:rPr>
            </w:pPr>
            <w:r>
              <w:rPr>
                <w:rFonts w:ascii="Times New Roman" w:eastAsiaTheme="minorHAnsi" w:hAnsi="Times New Roman"/>
                <w:sz w:val="20"/>
              </w:rPr>
              <w:t>3018.5</w:t>
            </w:r>
          </w:p>
        </w:tc>
        <w:tc>
          <w:tcPr>
            <w:tcW w:w="1027" w:type="dxa"/>
          </w:tcPr>
          <w:p w14:paraId="6D277763" w14:textId="23153F85" w:rsidR="007C5B7E" w:rsidRPr="001238E6" w:rsidRDefault="0047519D" w:rsidP="001238E6">
            <w:pPr>
              <w:rPr>
                <w:rFonts w:ascii="Times New Roman" w:eastAsiaTheme="minorHAnsi" w:hAnsi="Times New Roman"/>
                <w:sz w:val="20"/>
              </w:rPr>
            </w:pPr>
            <w:r>
              <w:rPr>
                <w:rFonts w:ascii="Times New Roman" w:eastAsiaTheme="minorHAnsi" w:hAnsi="Times New Roman"/>
                <w:sz w:val="20"/>
              </w:rPr>
              <w:t>25.44</w:t>
            </w:r>
          </w:p>
        </w:tc>
        <w:tc>
          <w:tcPr>
            <w:tcW w:w="1066" w:type="dxa"/>
          </w:tcPr>
          <w:p w14:paraId="1E1BFF7D" w14:textId="06DA41E8" w:rsidR="007C5B7E" w:rsidRPr="001238E6" w:rsidRDefault="00996048" w:rsidP="001238E6">
            <w:pPr>
              <w:rPr>
                <w:rFonts w:ascii="Times New Roman" w:eastAsiaTheme="minorHAnsi" w:hAnsi="Times New Roman"/>
                <w:sz w:val="20"/>
              </w:rPr>
            </w:pPr>
            <w:r>
              <w:rPr>
                <w:rFonts w:ascii="Times New Roman" w:eastAsiaTheme="minorHAnsi" w:hAnsi="Times New Roman"/>
                <w:sz w:val="20"/>
              </w:rPr>
              <w:t>8.27</w:t>
            </w:r>
          </w:p>
        </w:tc>
        <w:tc>
          <w:tcPr>
            <w:tcW w:w="1302" w:type="dxa"/>
          </w:tcPr>
          <w:p w14:paraId="33250EE4" w14:textId="07032028" w:rsidR="007C5B7E" w:rsidRPr="001238E6" w:rsidRDefault="00996048" w:rsidP="001238E6">
            <w:pPr>
              <w:rPr>
                <w:rFonts w:ascii="Times New Roman" w:eastAsiaTheme="minorHAnsi" w:hAnsi="Times New Roman"/>
                <w:sz w:val="20"/>
              </w:rPr>
            </w:pPr>
            <w:r>
              <w:rPr>
                <w:rFonts w:ascii="Times New Roman" w:eastAsiaTheme="minorHAnsi" w:hAnsi="Times New Roman"/>
                <w:sz w:val="20"/>
              </w:rPr>
              <w:t>16.872</w:t>
            </w:r>
            <w:r w:rsidR="00637787">
              <w:rPr>
                <w:rFonts w:ascii="Times New Roman" w:eastAsiaTheme="minorHAnsi" w:hAnsi="Times New Roman"/>
                <w:sz w:val="20"/>
              </w:rPr>
              <w:t>,835</w:t>
            </w:r>
          </w:p>
        </w:tc>
        <w:tc>
          <w:tcPr>
            <w:tcW w:w="1513" w:type="dxa"/>
          </w:tcPr>
          <w:p w14:paraId="2FB90850" w14:textId="301A30FC" w:rsidR="007C5B7E" w:rsidRPr="001238E6" w:rsidRDefault="00637787" w:rsidP="001238E6">
            <w:pPr>
              <w:rPr>
                <w:rFonts w:ascii="Times New Roman" w:eastAsiaTheme="minorHAnsi" w:hAnsi="Times New Roman"/>
                <w:sz w:val="20"/>
              </w:rPr>
            </w:pPr>
            <w:r>
              <w:rPr>
                <w:rFonts w:ascii="Times New Roman" w:eastAsiaTheme="minorHAnsi" w:hAnsi="Times New Roman"/>
                <w:sz w:val="20"/>
              </w:rPr>
              <w:t>5.590</w:t>
            </w:r>
          </w:p>
        </w:tc>
        <w:tc>
          <w:tcPr>
            <w:tcW w:w="1075" w:type="dxa"/>
          </w:tcPr>
          <w:p w14:paraId="6880A37A" w14:textId="7B25EFAC" w:rsidR="007C5B7E" w:rsidRPr="001238E6" w:rsidRDefault="00FD3933" w:rsidP="001238E6">
            <w:pPr>
              <w:rPr>
                <w:rFonts w:ascii="Times New Roman" w:eastAsiaTheme="minorHAnsi" w:hAnsi="Times New Roman"/>
                <w:sz w:val="20"/>
              </w:rPr>
            </w:pPr>
            <w:r>
              <w:rPr>
                <w:rFonts w:ascii="Times New Roman" w:eastAsiaTheme="minorHAnsi" w:hAnsi="Times New Roman"/>
                <w:sz w:val="20"/>
              </w:rPr>
              <w:t>1.818</w:t>
            </w:r>
          </w:p>
        </w:tc>
      </w:tr>
    </w:tbl>
    <w:bookmarkEnd w:id="6"/>
    <w:p w14:paraId="5CA3A590" w14:textId="77777777" w:rsidR="001238E6" w:rsidRPr="001238E6" w:rsidRDefault="001238E6" w:rsidP="001238E6">
      <w:pPr>
        <w:spacing w:after="160" w:line="259" w:lineRule="auto"/>
        <w:rPr>
          <w:rFonts w:ascii="Times New Roman" w:eastAsiaTheme="minorHAnsi" w:hAnsi="Times New Roman"/>
          <w:sz w:val="20"/>
        </w:rPr>
      </w:pPr>
      <w:r w:rsidRPr="001238E6">
        <w:rPr>
          <w:rFonts w:ascii="Times New Roman" w:eastAsiaTheme="minorHAnsi" w:hAnsi="Times New Roman"/>
          <w:sz w:val="20"/>
        </w:rPr>
        <w:t xml:space="preserve">Sources: </w:t>
      </w:r>
      <w:hyperlink r:id="rId22" w:history="1">
        <w:r w:rsidRPr="001238E6">
          <w:rPr>
            <w:rFonts w:ascii="Times New Roman" w:eastAsiaTheme="minorHAnsi" w:hAnsi="Times New Roman"/>
            <w:color w:val="0563C1" w:themeColor="hyperlink"/>
            <w:sz w:val="20"/>
            <w:u w:val="single"/>
          </w:rPr>
          <w:t>https://www.cms.gov/research-statistics-data-and-systems/statistics-trends-and-reports/cmsprogramstatistics</w:t>
        </w:r>
      </w:hyperlink>
      <w:r w:rsidRPr="001238E6">
        <w:rPr>
          <w:rFonts w:ascii="Times New Roman" w:eastAsiaTheme="minorHAnsi" w:hAnsi="Times New Roman"/>
          <w:sz w:val="20"/>
        </w:rPr>
        <w:t xml:space="preserve"> ; </w:t>
      </w:r>
      <w:hyperlink r:id="rId23" w:history="1">
        <w:r w:rsidRPr="001238E6">
          <w:rPr>
            <w:rFonts w:ascii="Times New Roman" w:eastAsiaTheme="minorHAnsi" w:hAnsi="Times New Roman"/>
            <w:color w:val="0563C1" w:themeColor="hyperlink"/>
            <w:sz w:val="20"/>
            <w:u w:val="single"/>
          </w:rPr>
          <w:t>https://www.cms.gov/Research-Statistics-Data-and-Systems/Statistics-Trends-and-Reports/Archives/MMSS</w:t>
        </w:r>
      </w:hyperlink>
      <w:r w:rsidRPr="001238E6">
        <w:rPr>
          <w:rFonts w:ascii="Times New Roman" w:eastAsiaTheme="minorHAnsi" w:hAnsi="Times New Roman"/>
          <w:sz w:val="20"/>
        </w:rPr>
        <w:t xml:space="preserve"> </w:t>
      </w:r>
    </w:p>
    <w:p w14:paraId="0D13642D" w14:textId="77777777" w:rsidR="001238E6" w:rsidRPr="001238E6" w:rsidRDefault="001238E6" w:rsidP="001238E6">
      <w:pPr>
        <w:spacing w:after="160" w:line="259" w:lineRule="auto"/>
        <w:rPr>
          <w:rFonts w:ascii="Times New Roman" w:eastAsiaTheme="minorHAnsi" w:hAnsi="Times New Roman"/>
          <w:sz w:val="20"/>
        </w:rPr>
      </w:pPr>
      <w:r w:rsidRPr="001238E6">
        <w:rPr>
          <w:rFonts w:ascii="Times New Roman" w:eastAsiaTheme="minorHAnsi" w:hAnsi="Times New Roman"/>
          <w:sz w:val="20"/>
        </w:rPr>
        <w:t>*Data from Medicare Payment Advisory Commission (MedPAC) various March Reports to Congress</w:t>
      </w:r>
    </w:p>
    <w:p w14:paraId="3BF6C42D" w14:textId="77777777" w:rsidR="001238E6" w:rsidRDefault="001238E6" w:rsidP="001238E6">
      <w:pPr>
        <w:spacing w:after="160" w:line="259" w:lineRule="auto"/>
        <w:rPr>
          <w:rFonts w:ascii="Times New Roman" w:eastAsiaTheme="minorHAnsi" w:hAnsi="Times New Roman"/>
          <w:sz w:val="20"/>
        </w:rPr>
      </w:pPr>
      <w:r w:rsidRPr="001238E6">
        <w:rPr>
          <w:rFonts w:ascii="Times New Roman" w:eastAsiaTheme="minorHAnsi" w:hAnsi="Times New Roman"/>
          <w:sz w:val="20"/>
        </w:rPr>
        <w:t>** Data from CMS HHA cost reports</w:t>
      </w:r>
    </w:p>
    <w:p w14:paraId="1F2DE55D" w14:textId="2F33F9A5" w:rsidR="00FD3933" w:rsidRPr="001238E6" w:rsidRDefault="00FD3933" w:rsidP="001238E6">
      <w:pPr>
        <w:spacing w:after="160" w:line="259" w:lineRule="auto"/>
        <w:rPr>
          <w:rFonts w:ascii="Times New Roman" w:eastAsiaTheme="minorHAnsi" w:hAnsi="Times New Roman"/>
          <w:sz w:val="20"/>
        </w:rPr>
      </w:pPr>
      <w:r>
        <w:rPr>
          <w:rFonts w:ascii="Times New Roman" w:eastAsiaTheme="minorHAnsi" w:hAnsi="Times New Roman"/>
          <w:sz w:val="20"/>
        </w:rPr>
        <w:t>***</w:t>
      </w:r>
      <w:r w:rsidR="000F1CF5">
        <w:rPr>
          <w:rFonts w:ascii="Times New Roman" w:eastAsiaTheme="minorHAnsi" w:hAnsi="Times New Roman"/>
          <w:sz w:val="20"/>
        </w:rPr>
        <w:t>The payment model shifted to a 30-day episode</w:t>
      </w:r>
    </w:p>
    <w:p w14:paraId="1E2E47B5" w14:textId="77777777" w:rsidR="005D5656" w:rsidRDefault="005D5656" w:rsidP="0002347B">
      <w:pPr>
        <w:spacing w:after="160" w:line="259" w:lineRule="auto"/>
        <w:rPr>
          <w:rFonts w:asciiTheme="minorHAnsi" w:eastAsiaTheme="minorHAnsi" w:hAnsiTheme="minorHAnsi" w:cstheme="minorBidi"/>
          <w:b/>
          <w:bCs/>
          <w:szCs w:val="22"/>
        </w:rPr>
      </w:pPr>
    </w:p>
    <w:p w14:paraId="38244928" w14:textId="77777777" w:rsidR="005D5656" w:rsidRDefault="005D5656" w:rsidP="0002347B">
      <w:pPr>
        <w:spacing w:after="160" w:line="259" w:lineRule="auto"/>
        <w:rPr>
          <w:rFonts w:asciiTheme="minorHAnsi" w:eastAsiaTheme="minorHAnsi" w:hAnsiTheme="minorHAnsi" w:cstheme="minorBidi"/>
          <w:b/>
          <w:bCs/>
          <w:szCs w:val="22"/>
        </w:rPr>
      </w:pPr>
    </w:p>
    <w:p w14:paraId="45DFFDA0" w14:textId="1D17C3EC" w:rsidR="0002347B" w:rsidRPr="0002347B" w:rsidRDefault="004A3998" w:rsidP="0002347B">
      <w:pPr>
        <w:spacing w:after="160" w:line="259" w:lineRule="auto"/>
        <w:rPr>
          <w:rFonts w:ascii="Times New Roman" w:eastAsiaTheme="minorHAnsi" w:hAnsi="Times New Roman"/>
          <w:b/>
          <w:bCs/>
          <w:szCs w:val="22"/>
        </w:rPr>
      </w:pPr>
      <w:r w:rsidRPr="0053015E">
        <w:rPr>
          <w:rFonts w:ascii="Times New Roman" w:eastAsiaTheme="minorHAnsi" w:hAnsi="Times New Roman"/>
          <w:b/>
          <w:bCs/>
          <w:szCs w:val="22"/>
        </w:rPr>
        <w:t xml:space="preserve">Medicare Home Health Services </w:t>
      </w:r>
      <w:r w:rsidR="006266CB" w:rsidRPr="0053015E">
        <w:rPr>
          <w:rFonts w:ascii="Times New Roman" w:eastAsiaTheme="minorHAnsi" w:hAnsi="Times New Roman"/>
          <w:b/>
          <w:bCs/>
          <w:szCs w:val="22"/>
        </w:rPr>
        <w:t xml:space="preserve">and </w:t>
      </w:r>
      <w:r w:rsidRPr="0053015E">
        <w:rPr>
          <w:rFonts w:ascii="Times New Roman" w:eastAsiaTheme="minorHAnsi" w:hAnsi="Times New Roman"/>
          <w:b/>
          <w:bCs/>
          <w:szCs w:val="22"/>
        </w:rPr>
        <w:t>Use Reductions Coincided with Payment Rate Reductions</w:t>
      </w:r>
      <w:r w:rsidR="004E1615" w:rsidRPr="0053015E">
        <w:rPr>
          <w:rFonts w:ascii="Times New Roman" w:eastAsiaTheme="minorHAnsi" w:hAnsi="Times New Roman"/>
          <w:b/>
          <w:bCs/>
          <w:szCs w:val="22"/>
        </w:rPr>
        <w:t xml:space="preserve">: The Proposed PDGM Cut Will </w:t>
      </w:r>
      <w:r w:rsidR="006266CB" w:rsidRPr="0053015E">
        <w:rPr>
          <w:rFonts w:ascii="Times New Roman" w:eastAsiaTheme="minorHAnsi" w:hAnsi="Times New Roman"/>
          <w:b/>
          <w:bCs/>
          <w:szCs w:val="22"/>
        </w:rPr>
        <w:t>B</w:t>
      </w:r>
      <w:r w:rsidR="004E1615" w:rsidRPr="0053015E">
        <w:rPr>
          <w:rFonts w:ascii="Times New Roman" w:eastAsiaTheme="minorHAnsi" w:hAnsi="Times New Roman"/>
          <w:b/>
          <w:bCs/>
          <w:szCs w:val="22"/>
        </w:rPr>
        <w:t>ring More</w:t>
      </w:r>
    </w:p>
    <w:p w14:paraId="3D11C31C" w14:textId="77777777" w:rsidR="0002347B" w:rsidRPr="0002347B" w:rsidRDefault="0002347B" w:rsidP="0002347B">
      <w:pPr>
        <w:spacing w:after="160" w:line="259" w:lineRule="auto"/>
        <w:rPr>
          <w:rFonts w:ascii="Times New Roman" w:eastAsiaTheme="minorHAnsi" w:hAnsi="Times New Roman"/>
          <w:szCs w:val="22"/>
        </w:rPr>
      </w:pPr>
    </w:p>
    <w:p w14:paraId="6D76D6CC" w14:textId="4B9445B3" w:rsidR="0002347B" w:rsidRPr="0002347B" w:rsidRDefault="0002347B" w:rsidP="00AB1332">
      <w:pPr>
        <w:spacing w:after="160" w:line="259" w:lineRule="auto"/>
        <w:ind w:firstLine="720"/>
        <w:rPr>
          <w:rFonts w:ascii="Times New Roman" w:eastAsiaTheme="minorHAnsi" w:hAnsi="Times New Roman"/>
          <w:szCs w:val="22"/>
        </w:rPr>
      </w:pPr>
      <w:r w:rsidRPr="0002347B">
        <w:rPr>
          <w:rFonts w:ascii="Times New Roman" w:eastAsiaTheme="minorHAnsi" w:hAnsi="Times New Roman"/>
          <w:szCs w:val="22"/>
        </w:rPr>
        <w:t>While payment rate and payment method are not the only contributing factors to service access and level of care changes in home health services, their impacts are natural and foreseeable. Since BBA 1997, home health services PPS episodic rates have been subject to numerous negative adjustments that began with the initial rate setting for FY2001. Due to the dramatic impact of the Interim Payment System in 1998-2000 and the BBA 1997 requirement that PPS be set in a budget neutral manner, the FY2001 payment rates were set at a level that was over $300 lower than provider costs $2115.50 versus $2416.01) due to a .88423 budget neutrality adjustment</w:t>
      </w:r>
      <w:r w:rsidR="00B80ED4" w:rsidRPr="0002347B">
        <w:rPr>
          <w:rFonts w:ascii="Times New Roman" w:eastAsiaTheme="minorHAnsi" w:hAnsi="Times New Roman"/>
          <w:szCs w:val="22"/>
        </w:rPr>
        <w:t xml:space="preserve">. </w:t>
      </w:r>
      <w:hyperlink r:id="rId24" w:history="1">
        <w:r w:rsidRPr="0002347B">
          <w:rPr>
            <w:rFonts w:ascii="Times New Roman" w:eastAsiaTheme="minorHAnsi" w:hAnsi="Times New Roman"/>
            <w:color w:val="0563C1" w:themeColor="hyperlink"/>
            <w:szCs w:val="22"/>
            <w:u w:val="single"/>
          </w:rPr>
          <w:t>https://www.govinfo.gov/content/pkg/FR-2000-07-03/pdf/00-16432.pdf</w:t>
        </w:r>
      </w:hyperlink>
      <w:r w:rsidRPr="0002347B">
        <w:rPr>
          <w:rFonts w:ascii="Times New Roman" w:eastAsiaTheme="minorHAnsi" w:hAnsi="Times New Roman"/>
          <w:szCs w:val="22"/>
        </w:rPr>
        <w:t xml:space="preserve">. Thereafter, the episodic rates have been hit with multiple legislated and regulatory </w:t>
      </w:r>
      <w:r w:rsidRPr="0002347B">
        <w:rPr>
          <w:rFonts w:ascii="Times New Roman" w:eastAsiaTheme="minorHAnsi" w:hAnsi="Times New Roman"/>
          <w:szCs w:val="22"/>
        </w:rPr>
        <w:lastRenderedPageBreak/>
        <w:t>reductions. The table below sets out those reductions.</w:t>
      </w:r>
      <w:r w:rsidR="00774C0F" w:rsidRPr="0053015E">
        <w:rPr>
          <w:rFonts w:ascii="Times New Roman" w:eastAsiaTheme="minorHAnsi" w:hAnsi="Times New Roman"/>
          <w:szCs w:val="22"/>
        </w:rPr>
        <w:t xml:space="preserve"> The PDGM rate reductions have and will continue to have the same reduction in care access and level of services.</w:t>
      </w:r>
    </w:p>
    <w:p w14:paraId="031B30D9" w14:textId="77777777" w:rsidR="0002347B" w:rsidRPr="0002347B" w:rsidRDefault="0002347B" w:rsidP="0002347B">
      <w:pPr>
        <w:spacing w:after="160" w:line="259" w:lineRule="auto"/>
        <w:rPr>
          <w:rFonts w:ascii="Times New Roman" w:eastAsiaTheme="minorHAnsi" w:hAnsi="Times New Roman"/>
          <w:szCs w:val="22"/>
        </w:rPr>
      </w:pPr>
    </w:p>
    <w:p w14:paraId="452D9520" w14:textId="77777777" w:rsidR="0002347B" w:rsidRPr="0002347B" w:rsidRDefault="0002347B" w:rsidP="0002347B">
      <w:pPr>
        <w:spacing w:after="160" w:line="259" w:lineRule="auto"/>
        <w:rPr>
          <w:rFonts w:asciiTheme="minorHAnsi" w:eastAsiaTheme="minorHAnsi" w:hAnsiTheme="minorHAnsi" w:cstheme="minorBidi"/>
          <w:szCs w:val="22"/>
        </w:rPr>
      </w:pPr>
    </w:p>
    <w:tbl>
      <w:tblPr>
        <w:tblStyle w:val="TableGrid2"/>
        <w:tblW w:w="0" w:type="auto"/>
        <w:tblLook w:val="04A0" w:firstRow="1" w:lastRow="0" w:firstColumn="1" w:lastColumn="0" w:noHBand="0" w:noVBand="1"/>
      </w:tblPr>
      <w:tblGrid>
        <w:gridCol w:w="1720"/>
        <w:gridCol w:w="1630"/>
        <w:gridCol w:w="1842"/>
        <w:gridCol w:w="1879"/>
        <w:gridCol w:w="1630"/>
      </w:tblGrid>
      <w:tr w:rsidR="0002347B" w:rsidRPr="0002347B" w14:paraId="686FB4DA" w14:textId="77777777" w:rsidTr="000C33D9">
        <w:tc>
          <w:tcPr>
            <w:tcW w:w="1467" w:type="dxa"/>
          </w:tcPr>
          <w:p w14:paraId="00BED17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YEAR</w:t>
            </w:r>
          </w:p>
        </w:tc>
        <w:tc>
          <w:tcPr>
            <w:tcW w:w="1630" w:type="dxa"/>
          </w:tcPr>
          <w:p w14:paraId="337738E5"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MBI REDUCTION</w:t>
            </w:r>
          </w:p>
        </w:tc>
        <w:tc>
          <w:tcPr>
            <w:tcW w:w="1737" w:type="dxa"/>
          </w:tcPr>
          <w:p w14:paraId="7FCE8188"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PRODUCTIVITY ADJUSTMENT</w:t>
            </w:r>
          </w:p>
        </w:tc>
        <w:tc>
          <w:tcPr>
            <w:tcW w:w="1694" w:type="dxa"/>
          </w:tcPr>
          <w:p w14:paraId="304C29AB" w14:textId="5B024696"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 xml:space="preserve">BUDGET </w:t>
            </w:r>
            <w:r w:rsidR="00976215" w:rsidRPr="0002347B">
              <w:rPr>
                <w:rFonts w:ascii="Times New Roman" w:eastAsiaTheme="minorHAnsi" w:hAnsi="Times New Roman"/>
                <w:szCs w:val="22"/>
              </w:rPr>
              <w:t>NEUTRALITY and</w:t>
            </w:r>
            <w:r w:rsidRPr="0002347B">
              <w:rPr>
                <w:rFonts w:ascii="Times New Roman" w:eastAsiaTheme="minorHAnsi" w:hAnsi="Times New Roman"/>
                <w:szCs w:val="22"/>
              </w:rPr>
              <w:t xml:space="preserve"> CASE MIX WEIGHT ADJUSTMENT</w:t>
            </w:r>
            <w:r w:rsidR="007D5760">
              <w:rPr>
                <w:rFonts w:ascii="Times New Roman" w:eastAsiaTheme="minorHAnsi" w:hAnsi="Times New Roman"/>
                <w:szCs w:val="22"/>
              </w:rPr>
              <w:t>**</w:t>
            </w:r>
            <w:r w:rsidRPr="0002347B">
              <w:rPr>
                <w:rFonts w:ascii="Times New Roman" w:eastAsiaTheme="minorHAnsi" w:hAnsi="Times New Roman"/>
                <w:szCs w:val="22"/>
              </w:rPr>
              <w:t xml:space="preserve"> </w:t>
            </w:r>
          </w:p>
        </w:tc>
        <w:tc>
          <w:tcPr>
            <w:tcW w:w="1630" w:type="dxa"/>
          </w:tcPr>
          <w:p w14:paraId="74E74C8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REBASING REDUCTION</w:t>
            </w:r>
          </w:p>
        </w:tc>
      </w:tr>
      <w:tr w:rsidR="0002347B" w:rsidRPr="0002347B" w14:paraId="1A9B2EF4" w14:textId="77777777" w:rsidTr="000C33D9">
        <w:tc>
          <w:tcPr>
            <w:tcW w:w="1467" w:type="dxa"/>
          </w:tcPr>
          <w:p w14:paraId="2079F8E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FY2001</w:t>
            </w:r>
          </w:p>
        </w:tc>
        <w:tc>
          <w:tcPr>
            <w:tcW w:w="1630" w:type="dxa"/>
          </w:tcPr>
          <w:p w14:paraId="024F3487" w14:textId="77777777" w:rsidR="0002347B" w:rsidRPr="0002347B" w:rsidRDefault="0002347B" w:rsidP="0002347B">
            <w:pPr>
              <w:rPr>
                <w:rFonts w:ascii="Times New Roman" w:eastAsiaTheme="minorHAnsi" w:hAnsi="Times New Roman"/>
                <w:szCs w:val="22"/>
              </w:rPr>
            </w:pPr>
          </w:p>
        </w:tc>
        <w:tc>
          <w:tcPr>
            <w:tcW w:w="1737" w:type="dxa"/>
          </w:tcPr>
          <w:p w14:paraId="339EDAC3" w14:textId="77777777" w:rsidR="0002347B" w:rsidRPr="0002347B" w:rsidRDefault="0002347B" w:rsidP="0002347B">
            <w:pPr>
              <w:rPr>
                <w:rFonts w:ascii="Times New Roman" w:eastAsiaTheme="minorHAnsi" w:hAnsi="Times New Roman"/>
                <w:szCs w:val="22"/>
              </w:rPr>
            </w:pPr>
          </w:p>
        </w:tc>
        <w:tc>
          <w:tcPr>
            <w:tcW w:w="1694" w:type="dxa"/>
          </w:tcPr>
          <w:p w14:paraId="703B3BC3"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11.577%</w:t>
            </w:r>
          </w:p>
        </w:tc>
        <w:tc>
          <w:tcPr>
            <w:tcW w:w="1630" w:type="dxa"/>
          </w:tcPr>
          <w:p w14:paraId="2B709F47" w14:textId="77777777" w:rsidR="0002347B" w:rsidRPr="0002347B" w:rsidRDefault="0002347B" w:rsidP="0002347B">
            <w:pPr>
              <w:rPr>
                <w:rFonts w:ascii="Times New Roman" w:eastAsiaTheme="minorHAnsi" w:hAnsi="Times New Roman"/>
                <w:szCs w:val="22"/>
              </w:rPr>
            </w:pPr>
          </w:p>
        </w:tc>
      </w:tr>
      <w:tr w:rsidR="0002347B" w:rsidRPr="0002347B" w14:paraId="1E8BB37D" w14:textId="77777777" w:rsidTr="000C33D9">
        <w:tc>
          <w:tcPr>
            <w:tcW w:w="1467" w:type="dxa"/>
          </w:tcPr>
          <w:p w14:paraId="4E64F70B"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FY2002</w:t>
            </w:r>
          </w:p>
        </w:tc>
        <w:tc>
          <w:tcPr>
            <w:tcW w:w="1630" w:type="dxa"/>
          </w:tcPr>
          <w:p w14:paraId="126647E0" w14:textId="77777777" w:rsidR="0002347B" w:rsidRPr="0002347B" w:rsidRDefault="0002347B" w:rsidP="0002347B">
            <w:pPr>
              <w:rPr>
                <w:rFonts w:ascii="Times New Roman" w:eastAsiaTheme="minorHAnsi" w:hAnsi="Times New Roman"/>
                <w:szCs w:val="22"/>
              </w:rPr>
            </w:pPr>
          </w:p>
        </w:tc>
        <w:tc>
          <w:tcPr>
            <w:tcW w:w="1737" w:type="dxa"/>
          </w:tcPr>
          <w:p w14:paraId="78E01EE8" w14:textId="77777777" w:rsidR="0002347B" w:rsidRPr="0002347B" w:rsidRDefault="0002347B" w:rsidP="0002347B">
            <w:pPr>
              <w:rPr>
                <w:rFonts w:ascii="Times New Roman" w:eastAsiaTheme="minorHAnsi" w:hAnsi="Times New Roman"/>
                <w:szCs w:val="22"/>
              </w:rPr>
            </w:pPr>
          </w:p>
        </w:tc>
        <w:tc>
          <w:tcPr>
            <w:tcW w:w="1694" w:type="dxa"/>
          </w:tcPr>
          <w:p w14:paraId="490EB5DF" w14:textId="77777777" w:rsidR="0002347B" w:rsidRPr="0002347B" w:rsidRDefault="0002347B" w:rsidP="0002347B">
            <w:pPr>
              <w:rPr>
                <w:rFonts w:ascii="Times New Roman" w:eastAsiaTheme="minorHAnsi" w:hAnsi="Times New Roman"/>
                <w:szCs w:val="22"/>
              </w:rPr>
            </w:pPr>
          </w:p>
        </w:tc>
        <w:tc>
          <w:tcPr>
            <w:tcW w:w="1630" w:type="dxa"/>
          </w:tcPr>
          <w:p w14:paraId="54641523" w14:textId="77777777" w:rsidR="0002347B" w:rsidRPr="0002347B" w:rsidRDefault="0002347B" w:rsidP="0002347B">
            <w:pPr>
              <w:rPr>
                <w:rFonts w:ascii="Times New Roman" w:eastAsiaTheme="minorHAnsi" w:hAnsi="Times New Roman"/>
                <w:szCs w:val="22"/>
              </w:rPr>
            </w:pPr>
          </w:p>
        </w:tc>
      </w:tr>
      <w:tr w:rsidR="0002347B" w:rsidRPr="0002347B" w14:paraId="4B70BAAD" w14:textId="77777777" w:rsidTr="000C33D9">
        <w:tc>
          <w:tcPr>
            <w:tcW w:w="1467" w:type="dxa"/>
          </w:tcPr>
          <w:p w14:paraId="707178BB"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FY2003</w:t>
            </w:r>
          </w:p>
        </w:tc>
        <w:tc>
          <w:tcPr>
            <w:tcW w:w="1630" w:type="dxa"/>
          </w:tcPr>
          <w:p w14:paraId="4C319239"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1.1%</w:t>
            </w:r>
          </w:p>
        </w:tc>
        <w:tc>
          <w:tcPr>
            <w:tcW w:w="1737" w:type="dxa"/>
          </w:tcPr>
          <w:p w14:paraId="24C36AF4" w14:textId="77777777" w:rsidR="0002347B" w:rsidRPr="0002347B" w:rsidRDefault="0002347B" w:rsidP="0002347B">
            <w:pPr>
              <w:rPr>
                <w:rFonts w:ascii="Times New Roman" w:eastAsiaTheme="minorHAnsi" w:hAnsi="Times New Roman"/>
                <w:szCs w:val="22"/>
              </w:rPr>
            </w:pPr>
          </w:p>
        </w:tc>
        <w:tc>
          <w:tcPr>
            <w:tcW w:w="1694" w:type="dxa"/>
          </w:tcPr>
          <w:p w14:paraId="77EAC8B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7%</w:t>
            </w:r>
          </w:p>
        </w:tc>
        <w:tc>
          <w:tcPr>
            <w:tcW w:w="1630" w:type="dxa"/>
          </w:tcPr>
          <w:p w14:paraId="0523DA0C" w14:textId="77777777" w:rsidR="0002347B" w:rsidRPr="0002347B" w:rsidRDefault="0002347B" w:rsidP="0002347B">
            <w:pPr>
              <w:rPr>
                <w:rFonts w:ascii="Times New Roman" w:eastAsiaTheme="minorHAnsi" w:hAnsi="Times New Roman"/>
                <w:szCs w:val="22"/>
              </w:rPr>
            </w:pPr>
          </w:p>
        </w:tc>
      </w:tr>
      <w:tr w:rsidR="0002347B" w:rsidRPr="0002347B" w14:paraId="1EA08C06" w14:textId="77777777" w:rsidTr="000C33D9">
        <w:tc>
          <w:tcPr>
            <w:tcW w:w="1467" w:type="dxa"/>
          </w:tcPr>
          <w:p w14:paraId="3EB66127"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FY2004</w:t>
            </w:r>
          </w:p>
        </w:tc>
        <w:tc>
          <w:tcPr>
            <w:tcW w:w="1630" w:type="dxa"/>
          </w:tcPr>
          <w:p w14:paraId="75B9FAFE" w14:textId="77777777" w:rsidR="0002347B" w:rsidRPr="0002347B" w:rsidRDefault="0002347B" w:rsidP="0002347B">
            <w:pPr>
              <w:rPr>
                <w:rFonts w:ascii="Times New Roman" w:eastAsiaTheme="minorHAnsi" w:hAnsi="Times New Roman"/>
                <w:szCs w:val="22"/>
              </w:rPr>
            </w:pPr>
          </w:p>
        </w:tc>
        <w:tc>
          <w:tcPr>
            <w:tcW w:w="1737" w:type="dxa"/>
          </w:tcPr>
          <w:p w14:paraId="7ADEDCB4" w14:textId="77777777" w:rsidR="0002347B" w:rsidRPr="0002347B" w:rsidRDefault="0002347B" w:rsidP="0002347B">
            <w:pPr>
              <w:rPr>
                <w:rFonts w:ascii="Times New Roman" w:eastAsiaTheme="minorHAnsi" w:hAnsi="Times New Roman"/>
                <w:szCs w:val="22"/>
              </w:rPr>
            </w:pPr>
          </w:p>
        </w:tc>
        <w:tc>
          <w:tcPr>
            <w:tcW w:w="1694" w:type="dxa"/>
          </w:tcPr>
          <w:p w14:paraId="52C5DE19" w14:textId="77777777" w:rsidR="0002347B" w:rsidRPr="0002347B" w:rsidRDefault="0002347B" w:rsidP="0002347B">
            <w:pPr>
              <w:rPr>
                <w:rFonts w:ascii="Times New Roman" w:eastAsiaTheme="minorHAnsi" w:hAnsi="Times New Roman"/>
                <w:szCs w:val="22"/>
              </w:rPr>
            </w:pPr>
          </w:p>
        </w:tc>
        <w:tc>
          <w:tcPr>
            <w:tcW w:w="1630" w:type="dxa"/>
          </w:tcPr>
          <w:p w14:paraId="0BE656E7" w14:textId="77777777" w:rsidR="0002347B" w:rsidRPr="0002347B" w:rsidRDefault="0002347B" w:rsidP="0002347B">
            <w:pPr>
              <w:rPr>
                <w:rFonts w:ascii="Times New Roman" w:eastAsiaTheme="minorHAnsi" w:hAnsi="Times New Roman"/>
                <w:szCs w:val="22"/>
              </w:rPr>
            </w:pPr>
          </w:p>
        </w:tc>
      </w:tr>
      <w:tr w:rsidR="0002347B" w:rsidRPr="0002347B" w14:paraId="651CBC0C" w14:textId="77777777" w:rsidTr="000C33D9">
        <w:tc>
          <w:tcPr>
            <w:tcW w:w="1467" w:type="dxa"/>
          </w:tcPr>
          <w:p w14:paraId="10288D30"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CY2005</w:t>
            </w:r>
          </w:p>
        </w:tc>
        <w:tc>
          <w:tcPr>
            <w:tcW w:w="1630" w:type="dxa"/>
          </w:tcPr>
          <w:p w14:paraId="7EBD1717"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0.8%</w:t>
            </w:r>
          </w:p>
        </w:tc>
        <w:tc>
          <w:tcPr>
            <w:tcW w:w="1737" w:type="dxa"/>
          </w:tcPr>
          <w:p w14:paraId="372BD773" w14:textId="77777777" w:rsidR="0002347B" w:rsidRPr="0002347B" w:rsidRDefault="0002347B" w:rsidP="0002347B">
            <w:pPr>
              <w:rPr>
                <w:rFonts w:ascii="Times New Roman" w:eastAsiaTheme="minorHAnsi" w:hAnsi="Times New Roman"/>
                <w:szCs w:val="22"/>
              </w:rPr>
            </w:pPr>
          </w:p>
        </w:tc>
        <w:tc>
          <w:tcPr>
            <w:tcW w:w="1694" w:type="dxa"/>
          </w:tcPr>
          <w:p w14:paraId="27F527A0" w14:textId="77777777" w:rsidR="0002347B" w:rsidRPr="0002347B" w:rsidRDefault="0002347B" w:rsidP="0002347B">
            <w:pPr>
              <w:rPr>
                <w:rFonts w:ascii="Times New Roman" w:eastAsiaTheme="minorHAnsi" w:hAnsi="Times New Roman"/>
                <w:szCs w:val="22"/>
              </w:rPr>
            </w:pPr>
          </w:p>
        </w:tc>
        <w:tc>
          <w:tcPr>
            <w:tcW w:w="1630" w:type="dxa"/>
          </w:tcPr>
          <w:p w14:paraId="02FDFE98" w14:textId="77777777" w:rsidR="0002347B" w:rsidRPr="0002347B" w:rsidRDefault="0002347B" w:rsidP="0002347B">
            <w:pPr>
              <w:rPr>
                <w:rFonts w:ascii="Times New Roman" w:eastAsiaTheme="minorHAnsi" w:hAnsi="Times New Roman"/>
                <w:szCs w:val="22"/>
              </w:rPr>
            </w:pPr>
          </w:p>
        </w:tc>
      </w:tr>
      <w:tr w:rsidR="0002347B" w:rsidRPr="0002347B" w14:paraId="6ECEA039" w14:textId="77777777" w:rsidTr="000C33D9">
        <w:tc>
          <w:tcPr>
            <w:tcW w:w="1467" w:type="dxa"/>
          </w:tcPr>
          <w:p w14:paraId="1A67065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 xml:space="preserve">CY2006 </w:t>
            </w:r>
          </w:p>
        </w:tc>
        <w:tc>
          <w:tcPr>
            <w:tcW w:w="1630" w:type="dxa"/>
          </w:tcPr>
          <w:p w14:paraId="7D6BB469"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0.8%</w:t>
            </w:r>
          </w:p>
        </w:tc>
        <w:tc>
          <w:tcPr>
            <w:tcW w:w="1737" w:type="dxa"/>
          </w:tcPr>
          <w:p w14:paraId="27F51ACE" w14:textId="77777777" w:rsidR="0002347B" w:rsidRPr="0002347B" w:rsidRDefault="0002347B" w:rsidP="0002347B">
            <w:pPr>
              <w:rPr>
                <w:rFonts w:ascii="Times New Roman" w:eastAsiaTheme="minorHAnsi" w:hAnsi="Times New Roman"/>
                <w:szCs w:val="22"/>
              </w:rPr>
            </w:pPr>
          </w:p>
        </w:tc>
        <w:tc>
          <w:tcPr>
            <w:tcW w:w="1694" w:type="dxa"/>
          </w:tcPr>
          <w:p w14:paraId="011211A7" w14:textId="77777777" w:rsidR="0002347B" w:rsidRPr="0002347B" w:rsidRDefault="0002347B" w:rsidP="0002347B">
            <w:pPr>
              <w:rPr>
                <w:rFonts w:ascii="Times New Roman" w:eastAsiaTheme="minorHAnsi" w:hAnsi="Times New Roman"/>
                <w:szCs w:val="22"/>
              </w:rPr>
            </w:pPr>
          </w:p>
        </w:tc>
        <w:tc>
          <w:tcPr>
            <w:tcW w:w="1630" w:type="dxa"/>
          </w:tcPr>
          <w:p w14:paraId="2D3BEBB7" w14:textId="77777777" w:rsidR="0002347B" w:rsidRPr="0002347B" w:rsidRDefault="0002347B" w:rsidP="0002347B">
            <w:pPr>
              <w:rPr>
                <w:rFonts w:ascii="Times New Roman" w:eastAsiaTheme="minorHAnsi" w:hAnsi="Times New Roman"/>
                <w:szCs w:val="22"/>
              </w:rPr>
            </w:pPr>
          </w:p>
        </w:tc>
      </w:tr>
      <w:tr w:rsidR="0002347B" w:rsidRPr="0002347B" w14:paraId="5B0C4CB9" w14:textId="77777777" w:rsidTr="000C33D9">
        <w:tc>
          <w:tcPr>
            <w:tcW w:w="1467" w:type="dxa"/>
          </w:tcPr>
          <w:p w14:paraId="07E5A0C3"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CY2007</w:t>
            </w:r>
          </w:p>
        </w:tc>
        <w:tc>
          <w:tcPr>
            <w:tcW w:w="1630" w:type="dxa"/>
          </w:tcPr>
          <w:p w14:paraId="0F54FFE1" w14:textId="77777777" w:rsidR="0002347B" w:rsidRPr="0002347B" w:rsidRDefault="0002347B" w:rsidP="0002347B">
            <w:pPr>
              <w:rPr>
                <w:rFonts w:ascii="Times New Roman" w:eastAsiaTheme="minorHAnsi" w:hAnsi="Times New Roman"/>
                <w:szCs w:val="22"/>
              </w:rPr>
            </w:pPr>
          </w:p>
        </w:tc>
        <w:tc>
          <w:tcPr>
            <w:tcW w:w="1737" w:type="dxa"/>
          </w:tcPr>
          <w:p w14:paraId="4AE92691" w14:textId="77777777" w:rsidR="0002347B" w:rsidRPr="0002347B" w:rsidRDefault="0002347B" w:rsidP="0002347B">
            <w:pPr>
              <w:rPr>
                <w:rFonts w:ascii="Times New Roman" w:eastAsiaTheme="minorHAnsi" w:hAnsi="Times New Roman"/>
                <w:szCs w:val="22"/>
              </w:rPr>
            </w:pPr>
          </w:p>
        </w:tc>
        <w:tc>
          <w:tcPr>
            <w:tcW w:w="1694" w:type="dxa"/>
          </w:tcPr>
          <w:p w14:paraId="6D795B9E" w14:textId="77777777" w:rsidR="0002347B" w:rsidRPr="0002347B" w:rsidRDefault="0002347B" w:rsidP="0002347B">
            <w:pPr>
              <w:rPr>
                <w:rFonts w:ascii="Times New Roman" w:eastAsiaTheme="minorHAnsi" w:hAnsi="Times New Roman"/>
                <w:szCs w:val="22"/>
              </w:rPr>
            </w:pPr>
          </w:p>
        </w:tc>
        <w:tc>
          <w:tcPr>
            <w:tcW w:w="1630" w:type="dxa"/>
          </w:tcPr>
          <w:p w14:paraId="63BCBF85" w14:textId="77777777" w:rsidR="0002347B" w:rsidRPr="0002347B" w:rsidRDefault="0002347B" w:rsidP="0002347B">
            <w:pPr>
              <w:rPr>
                <w:rFonts w:ascii="Times New Roman" w:eastAsiaTheme="minorHAnsi" w:hAnsi="Times New Roman"/>
                <w:szCs w:val="22"/>
              </w:rPr>
            </w:pPr>
          </w:p>
        </w:tc>
      </w:tr>
      <w:tr w:rsidR="0002347B" w:rsidRPr="0002347B" w14:paraId="619D00C8" w14:textId="77777777" w:rsidTr="000C33D9">
        <w:tc>
          <w:tcPr>
            <w:tcW w:w="1467" w:type="dxa"/>
          </w:tcPr>
          <w:p w14:paraId="01E83545"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CY2008</w:t>
            </w:r>
          </w:p>
        </w:tc>
        <w:tc>
          <w:tcPr>
            <w:tcW w:w="1630" w:type="dxa"/>
          </w:tcPr>
          <w:p w14:paraId="4450464C" w14:textId="77777777" w:rsidR="0002347B" w:rsidRPr="0002347B" w:rsidRDefault="0002347B" w:rsidP="0002347B">
            <w:pPr>
              <w:rPr>
                <w:rFonts w:ascii="Times New Roman" w:eastAsiaTheme="minorHAnsi" w:hAnsi="Times New Roman"/>
                <w:szCs w:val="22"/>
              </w:rPr>
            </w:pPr>
          </w:p>
        </w:tc>
        <w:tc>
          <w:tcPr>
            <w:tcW w:w="1737" w:type="dxa"/>
          </w:tcPr>
          <w:p w14:paraId="56A5AE39" w14:textId="77777777" w:rsidR="0002347B" w:rsidRPr="0002347B" w:rsidRDefault="0002347B" w:rsidP="0002347B">
            <w:pPr>
              <w:rPr>
                <w:rFonts w:ascii="Times New Roman" w:eastAsiaTheme="minorHAnsi" w:hAnsi="Times New Roman"/>
                <w:szCs w:val="22"/>
              </w:rPr>
            </w:pPr>
          </w:p>
        </w:tc>
        <w:tc>
          <w:tcPr>
            <w:tcW w:w="1694" w:type="dxa"/>
          </w:tcPr>
          <w:p w14:paraId="2D199EAB"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2.75%</w:t>
            </w:r>
          </w:p>
        </w:tc>
        <w:tc>
          <w:tcPr>
            <w:tcW w:w="1630" w:type="dxa"/>
          </w:tcPr>
          <w:p w14:paraId="4AE8D76B" w14:textId="77777777" w:rsidR="0002347B" w:rsidRPr="0002347B" w:rsidRDefault="0002347B" w:rsidP="0002347B">
            <w:pPr>
              <w:rPr>
                <w:rFonts w:ascii="Times New Roman" w:eastAsiaTheme="minorHAnsi" w:hAnsi="Times New Roman"/>
                <w:szCs w:val="22"/>
              </w:rPr>
            </w:pPr>
          </w:p>
        </w:tc>
      </w:tr>
      <w:tr w:rsidR="0002347B" w:rsidRPr="0002347B" w14:paraId="502C755A" w14:textId="77777777" w:rsidTr="000C33D9">
        <w:tc>
          <w:tcPr>
            <w:tcW w:w="1467" w:type="dxa"/>
          </w:tcPr>
          <w:p w14:paraId="5F33DB7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CY2009</w:t>
            </w:r>
          </w:p>
        </w:tc>
        <w:tc>
          <w:tcPr>
            <w:tcW w:w="1630" w:type="dxa"/>
          </w:tcPr>
          <w:p w14:paraId="6378144A" w14:textId="77777777" w:rsidR="0002347B" w:rsidRPr="0002347B" w:rsidRDefault="0002347B" w:rsidP="0002347B">
            <w:pPr>
              <w:rPr>
                <w:rFonts w:ascii="Times New Roman" w:eastAsiaTheme="minorHAnsi" w:hAnsi="Times New Roman"/>
                <w:szCs w:val="22"/>
              </w:rPr>
            </w:pPr>
          </w:p>
        </w:tc>
        <w:tc>
          <w:tcPr>
            <w:tcW w:w="1737" w:type="dxa"/>
          </w:tcPr>
          <w:p w14:paraId="10AF3879" w14:textId="77777777" w:rsidR="0002347B" w:rsidRPr="0002347B" w:rsidRDefault="0002347B" w:rsidP="0002347B">
            <w:pPr>
              <w:rPr>
                <w:rFonts w:ascii="Times New Roman" w:eastAsiaTheme="minorHAnsi" w:hAnsi="Times New Roman"/>
                <w:szCs w:val="22"/>
              </w:rPr>
            </w:pPr>
          </w:p>
        </w:tc>
        <w:tc>
          <w:tcPr>
            <w:tcW w:w="1694" w:type="dxa"/>
          </w:tcPr>
          <w:p w14:paraId="2D16286A"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2.75%</w:t>
            </w:r>
          </w:p>
        </w:tc>
        <w:tc>
          <w:tcPr>
            <w:tcW w:w="1630" w:type="dxa"/>
          </w:tcPr>
          <w:p w14:paraId="461935A9" w14:textId="77777777" w:rsidR="0002347B" w:rsidRPr="0002347B" w:rsidRDefault="0002347B" w:rsidP="0002347B">
            <w:pPr>
              <w:rPr>
                <w:rFonts w:ascii="Times New Roman" w:eastAsiaTheme="minorHAnsi" w:hAnsi="Times New Roman"/>
                <w:szCs w:val="22"/>
              </w:rPr>
            </w:pPr>
          </w:p>
        </w:tc>
      </w:tr>
      <w:tr w:rsidR="0002347B" w:rsidRPr="0002347B" w14:paraId="49E05BBF" w14:textId="77777777" w:rsidTr="000C33D9">
        <w:tc>
          <w:tcPr>
            <w:tcW w:w="1467" w:type="dxa"/>
          </w:tcPr>
          <w:p w14:paraId="549ED92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CY2010</w:t>
            </w:r>
          </w:p>
        </w:tc>
        <w:tc>
          <w:tcPr>
            <w:tcW w:w="1630" w:type="dxa"/>
          </w:tcPr>
          <w:p w14:paraId="6CFEB198" w14:textId="77777777" w:rsidR="0002347B" w:rsidRPr="0002347B" w:rsidRDefault="0002347B" w:rsidP="0002347B">
            <w:pPr>
              <w:rPr>
                <w:rFonts w:ascii="Times New Roman" w:eastAsiaTheme="minorHAnsi" w:hAnsi="Times New Roman"/>
                <w:szCs w:val="22"/>
              </w:rPr>
            </w:pPr>
          </w:p>
        </w:tc>
        <w:tc>
          <w:tcPr>
            <w:tcW w:w="1737" w:type="dxa"/>
          </w:tcPr>
          <w:p w14:paraId="01F0060A" w14:textId="77777777" w:rsidR="0002347B" w:rsidRPr="0002347B" w:rsidRDefault="0002347B" w:rsidP="0002347B">
            <w:pPr>
              <w:rPr>
                <w:rFonts w:ascii="Times New Roman" w:eastAsiaTheme="minorHAnsi" w:hAnsi="Times New Roman"/>
                <w:szCs w:val="22"/>
              </w:rPr>
            </w:pPr>
          </w:p>
        </w:tc>
        <w:tc>
          <w:tcPr>
            <w:tcW w:w="1694" w:type="dxa"/>
          </w:tcPr>
          <w:p w14:paraId="70245DC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2.75%</w:t>
            </w:r>
          </w:p>
        </w:tc>
        <w:tc>
          <w:tcPr>
            <w:tcW w:w="1630" w:type="dxa"/>
          </w:tcPr>
          <w:p w14:paraId="3E2FC689" w14:textId="77777777" w:rsidR="0002347B" w:rsidRPr="0002347B" w:rsidRDefault="0002347B" w:rsidP="0002347B">
            <w:pPr>
              <w:rPr>
                <w:rFonts w:ascii="Times New Roman" w:eastAsiaTheme="minorHAnsi" w:hAnsi="Times New Roman"/>
                <w:szCs w:val="22"/>
              </w:rPr>
            </w:pPr>
          </w:p>
        </w:tc>
      </w:tr>
      <w:tr w:rsidR="0002347B" w:rsidRPr="0002347B" w14:paraId="32972781" w14:textId="77777777" w:rsidTr="000C33D9">
        <w:tc>
          <w:tcPr>
            <w:tcW w:w="1467" w:type="dxa"/>
          </w:tcPr>
          <w:p w14:paraId="3F2C9065"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CY2011</w:t>
            </w:r>
          </w:p>
        </w:tc>
        <w:tc>
          <w:tcPr>
            <w:tcW w:w="1630" w:type="dxa"/>
          </w:tcPr>
          <w:p w14:paraId="2BAC3CA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1.0%</w:t>
            </w:r>
          </w:p>
        </w:tc>
        <w:tc>
          <w:tcPr>
            <w:tcW w:w="1737" w:type="dxa"/>
          </w:tcPr>
          <w:p w14:paraId="099F6A80" w14:textId="77777777" w:rsidR="0002347B" w:rsidRPr="0002347B" w:rsidRDefault="0002347B" w:rsidP="0002347B">
            <w:pPr>
              <w:rPr>
                <w:rFonts w:ascii="Times New Roman" w:eastAsiaTheme="minorHAnsi" w:hAnsi="Times New Roman"/>
                <w:szCs w:val="22"/>
              </w:rPr>
            </w:pPr>
          </w:p>
        </w:tc>
        <w:tc>
          <w:tcPr>
            <w:tcW w:w="1694" w:type="dxa"/>
          </w:tcPr>
          <w:p w14:paraId="43C55AD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3.79%</w:t>
            </w:r>
          </w:p>
        </w:tc>
        <w:tc>
          <w:tcPr>
            <w:tcW w:w="1630" w:type="dxa"/>
          </w:tcPr>
          <w:p w14:paraId="053A8F46" w14:textId="77777777" w:rsidR="0002347B" w:rsidRPr="0002347B" w:rsidRDefault="0002347B" w:rsidP="0002347B">
            <w:pPr>
              <w:rPr>
                <w:rFonts w:ascii="Times New Roman" w:eastAsiaTheme="minorHAnsi" w:hAnsi="Times New Roman"/>
                <w:szCs w:val="22"/>
              </w:rPr>
            </w:pPr>
          </w:p>
        </w:tc>
      </w:tr>
      <w:tr w:rsidR="0002347B" w:rsidRPr="0002347B" w14:paraId="087A6186" w14:textId="77777777" w:rsidTr="000C33D9">
        <w:tc>
          <w:tcPr>
            <w:tcW w:w="1467" w:type="dxa"/>
          </w:tcPr>
          <w:p w14:paraId="6BD346BE"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CY2012</w:t>
            </w:r>
          </w:p>
        </w:tc>
        <w:tc>
          <w:tcPr>
            <w:tcW w:w="1630" w:type="dxa"/>
          </w:tcPr>
          <w:p w14:paraId="234DE0C9"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1.0%</w:t>
            </w:r>
          </w:p>
        </w:tc>
        <w:tc>
          <w:tcPr>
            <w:tcW w:w="1737" w:type="dxa"/>
          </w:tcPr>
          <w:p w14:paraId="7DB538F0" w14:textId="77777777" w:rsidR="0002347B" w:rsidRPr="0002347B" w:rsidRDefault="0002347B" w:rsidP="0002347B">
            <w:pPr>
              <w:rPr>
                <w:rFonts w:ascii="Times New Roman" w:eastAsiaTheme="minorHAnsi" w:hAnsi="Times New Roman"/>
                <w:szCs w:val="22"/>
              </w:rPr>
            </w:pPr>
          </w:p>
        </w:tc>
        <w:tc>
          <w:tcPr>
            <w:tcW w:w="1694" w:type="dxa"/>
          </w:tcPr>
          <w:p w14:paraId="2C5638B0"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3.79%</w:t>
            </w:r>
          </w:p>
        </w:tc>
        <w:tc>
          <w:tcPr>
            <w:tcW w:w="1630" w:type="dxa"/>
          </w:tcPr>
          <w:p w14:paraId="02C98831" w14:textId="77777777" w:rsidR="0002347B" w:rsidRPr="0002347B" w:rsidRDefault="0002347B" w:rsidP="0002347B">
            <w:pPr>
              <w:rPr>
                <w:rFonts w:ascii="Times New Roman" w:eastAsiaTheme="minorHAnsi" w:hAnsi="Times New Roman"/>
                <w:szCs w:val="22"/>
              </w:rPr>
            </w:pPr>
          </w:p>
        </w:tc>
      </w:tr>
      <w:tr w:rsidR="0002347B" w:rsidRPr="0002347B" w14:paraId="23F382BB" w14:textId="77777777" w:rsidTr="000C33D9">
        <w:tc>
          <w:tcPr>
            <w:tcW w:w="1467" w:type="dxa"/>
          </w:tcPr>
          <w:p w14:paraId="59FBFB1E"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CY2013</w:t>
            </w:r>
          </w:p>
        </w:tc>
        <w:tc>
          <w:tcPr>
            <w:tcW w:w="1630" w:type="dxa"/>
          </w:tcPr>
          <w:p w14:paraId="32DD8987"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1.0%</w:t>
            </w:r>
          </w:p>
        </w:tc>
        <w:tc>
          <w:tcPr>
            <w:tcW w:w="1737" w:type="dxa"/>
          </w:tcPr>
          <w:p w14:paraId="77F1D037" w14:textId="77777777" w:rsidR="0002347B" w:rsidRPr="0002347B" w:rsidRDefault="0002347B" w:rsidP="0002347B">
            <w:pPr>
              <w:rPr>
                <w:rFonts w:ascii="Times New Roman" w:eastAsiaTheme="minorHAnsi" w:hAnsi="Times New Roman"/>
                <w:szCs w:val="22"/>
              </w:rPr>
            </w:pPr>
          </w:p>
        </w:tc>
        <w:tc>
          <w:tcPr>
            <w:tcW w:w="1694" w:type="dxa"/>
          </w:tcPr>
          <w:p w14:paraId="12CDB57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1.32%</w:t>
            </w:r>
          </w:p>
        </w:tc>
        <w:tc>
          <w:tcPr>
            <w:tcW w:w="1630" w:type="dxa"/>
          </w:tcPr>
          <w:p w14:paraId="78B71D7F" w14:textId="77777777" w:rsidR="0002347B" w:rsidRPr="0002347B" w:rsidRDefault="0002347B" w:rsidP="0002347B">
            <w:pPr>
              <w:rPr>
                <w:rFonts w:ascii="Times New Roman" w:eastAsiaTheme="minorHAnsi" w:hAnsi="Times New Roman"/>
                <w:szCs w:val="22"/>
              </w:rPr>
            </w:pPr>
          </w:p>
        </w:tc>
      </w:tr>
      <w:tr w:rsidR="0002347B" w:rsidRPr="0002347B" w14:paraId="2A178BB3" w14:textId="77777777" w:rsidTr="000C33D9">
        <w:tc>
          <w:tcPr>
            <w:tcW w:w="1467" w:type="dxa"/>
          </w:tcPr>
          <w:p w14:paraId="4FEB017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CY2014</w:t>
            </w:r>
          </w:p>
        </w:tc>
        <w:tc>
          <w:tcPr>
            <w:tcW w:w="1630" w:type="dxa"/>
          </w:tcPr>
          <w:p w14:paraId="05A53C82" w14:textId="77777777" w:rsidR="0002347B" w:rsidRPr="0002347B" w:rsidRDefault="0002347B" w:rsidP="0002347B">
            <w:pPr>
              <w:rPr>
                <w:rFonts w:ascii="Times New Roman" w:eastAsiaTheme="minorHAnsi" w:hAnsi="Times New Roman"/>
                <w:szCs w:val="22"/>
              </w:rPr>
            </w:pPr>
          </w:p>
        </w:tc>
        <w:tc>
          <w:tcPr>
            <w:tcW w:w="1737" w:type="dxa"/>
          </w:tcPr>
          <w:p w14:paraId="2F0EF2C3" w14:textId="77777777" w:rsidR="0002347B" w:rsidRPr="0002347B" w:rsidRDefault="0002347B" w:rsidP="0002347B">
            <w:pPr>
              <w:rPr>
                <w:rFonts w:ascii="Times New Roman" w:eastAsiaTheme="minorHAnsi" w:hAnsi="Times New Roman"/>
                <w:szCs w:val="22"/>
              </w:rPr>
            </w:pPr>
          </w:p>
        </w:tc>
        <w:tc>
          <w:tcPr>
            <w:tcW w:w="1694" w:type="dxa"/>
          </w:tcPr>
          <w:p w14:paraId="6B83EAC5" w14:textId="77777777" w:rsidR="0002347B" w:rsidRPr="0002347B" w:rsidRDefault="0002347B" w:rsidP="0002347B">
            <w:pPr>
              <w:rPr>
                <w:rFonts w:ascii="Times New Roman" w:eastAsiaTheme="minorHAnsi" w:hAnsi="Times New Roman"/>
                <w:szCs w:val="22"/>
              </w:rPr>
            </w:pPr>
          </w:p>
        </w:tc>
        <w:tc>
          <w:tcPr>
            <w:tcW w:w="1630" w:type="dxa"/>
          </w:tcPr>
          <w:p w14:paraId="3ED26FCB"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$80.65 (3.5%)</w:t>
            </w:r>
          </w:p>
        </w:tc>
      </w:tr>
      <w:tr w:rsidR="0002347B" w:rsidRPr="0002347B" w14:paraId="1017B47B" w14:textId="77777777" w:rsidTr="000C33D9">
        <w:tc>
          <w:tcPr>
            <w:tcW w:w="1467" w:type="dxa"/>
          </w:tcPr>
          <w:p w14:paraId="64571A68"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CY2015</w:t>
            </w:r>
          </w:p>
        </w:tc>
        <w:tc>
          <w:tcPr>
            <w:tcW w:w="1630" w:type="dxa"/>
          </w:tcPr>
          <w:p w14:paraId="7C9CF373" w14:textId="77777777" w:rsidR="0002347B" w:rsidRPr="0002347B" w:rsidRDefault="0002347B" w:rsidP="0002347B">
            <w:pPr>
              <w:rPr>
                <w:rFonts w:ascii="Times New Roman" w:eastAsiaTheme="minorHAnsi" w:hAnsi="Times New Roman"/>
                <w:szCs w:val="22"/>
              </w:rPr>
            </w:pPr>
          </w:p>
        </w:tc>
        <w:tc>
          <w:tcPr>
            <w:tcW w:w="1737" w:type="dxa"/>
          </w:tcPr>
          <w:p w14:paraId="2C3483A8"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0.5%</w:t>
            </w:r>
          </w:p>
        </w:tc>
        <w:tc>
          <w:tcPr>
            <w:tcW w:w="1694" w:type="dxa"/>
          </w:tcPr>
          <w:p w14:paraId="75AB87B0" w14:textId="77777777" w:rsidR="0002347B" w:rsidRPr="0002347B" w:rsidRDefault="0002347B" w:rsidP="0002347B">
            <w:pPr>
              <w:rPr>
                <w:rFonts w:ascii="Times New Roman" w:eastAsiaTheme="minorHAnsi" w:hAnsi="Times New Roman"/>
                <w:szCs w:val="22"/>
              </w:rPr>
            </w:pPr>
          </w:p>
        </w:tc>
        <w:tc>
          <w:tcPr>
            <w:tcW w:w="1630" w:type="dxa"/>
          </w:tcPr>
          <w:p w14:paraId="50816BF7"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$80.65 (3.5%)</w:t>
            </w:r>
          </w:p>
        </w:tc>
      </w:tr>
      <w:tr w:rsidR="0002347B" w:rsidRPr="0002347B" w14:paraId="6DC05206" w14:textId="77777777" w:rsidTr="000C33D9">
        <w:tc>
          <w:tcPr>
            <w:tcW w:w="1467" w:type="dxa"/>
          </w:tcPr>
          <w:p w14:paraId="78738CAD"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CY2016</w:t>
            </w:r>
          </w:p>
        </w:tc>
        <w:tc>
          <w:tcPr>
            <w:tcW w:w="1630" w:type="dxa"/>
          </w:tcPr>
          <w:p w14:paraId="03E8B952" w14:textId="77777777" w:rsidR="0002347B" w:rsidRPr="0002347B" w:rsidRDefault="0002347B" w:rsidP="0002347B">
            <w:pPr>
              <w:rPr>
                <w:rFonts w:ascii="Times New Roman" w:eastAsiaTheme="minorHAnsi" w:hAnsi="Times New Roman"/>
                <w:szCs w:val="22"/>
              </w:rPr>
            </w:pPr>
          </w:p>
        </w:tc>
        <w:tc>
          <w:tcPr>
            <w:tcW w:w="1737" w:type="dxa"/>
          </w:tcPr>
          <w:p w14:paraId="121A24A2"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0.4%</w:t>
            </w:r>
          </w:p>
        </w:tc>
        <w:tc>
          <w:tcPr>
            <w:tcW w:w="1694" w:type="dxa"/>
          </w:tcPr>
          <w:p w14:paraId="0FFC03EA"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0.97%</w:t>
            </w:r>
          </w:p>
        </w:tc>
        <w:tc>
          <w:tcPr>
            <w:tcW w:w="1630" w:type="dxa"/>
          </w:tcPr>
          <w:p w14:paraId="522EF02A"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$80.65 (3.5%)</w:t>
            </w:r>
          </w:p>
        </w:tc>
      </w:tr>
      <w:tr w:rsidR="0002347B" w:rsidRPr="0002347B" w14:paraId="1B0AB8BA" w14:textId="77777777" w:rsidTr="000C33D9">
        <w:tc>
          <w:tcPr>
            <w:tcW w:w="1467" w:type="dxa"/>
          </w:tcPr>
          <w:p w14:paraId="0617970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CY2017</w:t>
            </w:r>
          </w:p>
        </w:tc>
        <w:tc>
          <w:tcPr>
            <w:tcW w:w="1630" w:type="dxa"/>
          </w:tcPr>
          <w:p w14:paraId="520ADD0F" w14:textId="77777777" w:rsidR="0002347B" w:rsidRPr="0002347B" w:rsidRDefault="0002347B" w:rsidP="0002347B">
            <w:pPr>
              <w:rPr>
                <w:rFonts w:ascii="Times New Roman" w:eastAsiaTheme="minorHAnsi" w:hAnsi="Times New Roman"/>
                <w:szCs w:val="22"/>
              </w:rPr>
            </w:pPr>
          </w:p>
        </w:tc>
        <w:tc>
          <w:tcPr>
            <w:tcW w:w="1737" w:type="dxa"/>
          </w:tcPr>
          <w:p w14:paraId="05CF74A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0.3%</w:t>
            </w:r>
          </w:p>
        </w:tc>
        <w:tc>
          <w:tcPr>
            <w:tcW w:w="1694" w:type="dxa"/>
          </w:tcPr>
          <w:p w14:paraId="02BAC2E0"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0.97%</w:t>
            </w:r>
          </w:p>
        </w:tc>
        <w:tc>
          <w:tcPr>
            <w:tcW w:w="1630" w:type="dxa"/>
          </w:tcPr>
          <w:p w14:paraId="51D2B230"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$80.65 (3.5%)</w:t>
            </w:r>
          </w:p>
        </w:tc>
      </w:tr>
      <w:tr w:rsidR="0002347B" w:rsidRPr="0002347B" w14:paraId="23AE9974" w14:textId="77777777" w:rsidTr="000C33D9">
        <w:tc>
          <w:tcPr>
            <w:tcW w:w="1467" w:type="dxa"/>
          </w:tcPr>
          <w:p w14:paraId="055D878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CY2018</w:t>
            </w:r>
          </w:p>
        </w:tc>
        <w:tc>
          <w:tcPr>
            <w:tcW w:w="1630" w:type="dxa"/>
          </w:tcPr>
          <w:p w14:paraId="7024CBE3"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2.0%</w:t>
            </w:r>
          </w:p>
        </w:tc>
        <w:tc>
          <w:tcPr>
            <w:tcW w:w="1737" w:type="dxa"/>
          </w:tcPr>
          <w:p w14:paraId="4EAEA3BF" w14:textId="77777777" w:rsidR="0002347B" w:rsidRPr="0002347B" w:rsidRDefault="0002347B" w:rsidP="0002347B">
            <w:pPr>
              <w:rPr>
                <w:rFonts w:ascii="Times New Roman" w:eastAsiaTheme="minorHAnsi" w:hAnsi="Times New Roman"/>
                <w:szCs w:val="22"/>
              </w:rPr>
            </w:pPr>
          </w:p>
        </w:tc>
        <w:tc>
          <w:tcPr>
            <w:tcW w:w="1694" w:type="dxa"/>
          </w:tcPr>
          <w:p w14:paraId="1CCCBFF7"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0.97%</w:t>
            </w:r>
          </w:p>
        </w:tc>
        <w:tc>
          <w:tcPr>
            <w:tcW w:w="1630" w:type="dxa"/>
          </w:tcPr>
          <w:p w14:paraId="75ED1795" w14:textId="77777777" w:rsidR="0002347B" w:rsidRPr="0002347B" w:rsidRDefault="0002347B" w:rsidP="0002347B">
            <w:pPr>
              <w:rPr>
                <w:rFonts w:ascii="Times New Roman" w:eastAsiaTheme="minorHAnsi" w:hAnsi="Times New Roman"/>
                <w:szCs w:val="22"/>
              </w:rPr>
            </w:pPr>
          </w:p>
        </w:tc>
      </w:tr>
      <w:tr w:rsidR="0002347B" w:rsidRPr="0002347B" w14:paraId="5846660D" w14:textId="77777777" w:rsidTr="000C33D9">
        <w:tc>
          <w:tcPr>
            <w:tcW w:w="1467" w:type="dxa"/>
          </w:tcPr>
          <w:p w14:paraId="7C41C763"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CY2019</w:t>
            </w:r>
          </w:p>
        </w:tc>
        <w:tc>
          <w:tcPr>
            <w:tcW w:w="1630" w:type="dxa"/>
          </w:tcPr>
          <w:p w14:paraId="028B0F6A" w14:textId="77777777" w:rsidR="0002347B" w:rsidRPr="0002347B" w:rsidRDefault="0002347B" w:rsidP="0002347B">
            <w:pPr>
              <w:rPr>
                <w:rFonts w:ascii="Times New Roman" w:eastAsiaTheme="minorHAnsi" w:hAnsi="Times New Roman"/>
                <w:szCs w:val="22"/>
              </w:rPr>
            </w:pPr>
          </w:p>
        </w:tc>
        <w:tc>
          <w:tcPr>
            <w:tcW w:w="1737" w:type="dxa"/>
          </w:tcPr>
          <w:p w14:paraId="2BDAFF18"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0.8%</w:t>
            </w:r>
          </w:p>
        </w:tc>
        <w:tc>
          <w:tcPr>
            <w:tcW w:w="1694" w:type="dxa"/>
          </w:tcPr>
          <w:p w14:paraId="0B790E4C"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1.69%</w:t>
            </w:r>
          </w:p>
        </w:tc>
        <w:tc>
          <w:tcPr>
            <w:tcW w:w="1630" w:type="dxa"/>
          </w:tcPr>
          <w:p w14:paraId="3E26242B" w14:textId="77777777" w:rsidR="0002347B" w:rsidRPr="0002347B" w:rsidRDefault="0002347B" w:rsidP="0002347B">
            <w:pPr>
              <w:rPr>
                <w:rFonts w:ascii="Times New Roman" w:eastAsiaTheme="minorHAnsi" w:hAnsi="Times New Roman"/>
                <w:szCs w:val="22"/>
              </w:rPr>
            </w:pPr>
          </w:p>
        </w:tc>
      </w:tr>
      <w:tr w:rsidR="0002347B" w:rsidRPr="0002347B" w14:paraId="67B2485D" w14:textId="77777777" w:rsidTr="000C33D9">
        <w:tc>
          <w:tcPr>
            <w:tcW w:w="1467" w:type="dxa"/>
          </w:tcPr>
          <w:p w14:paraId="1FC5F829"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 xml:space="preserve">CY2020 PDGM begins </w:t>
            </w:r>
          </w:p>
        </w:tc>
        <w:tc>
          <w:tcPr>
            <w:tcW w:w="1630" w:type="dxa"/>
          </w:tcPr>
          <w:p w14:paraId="08CE04E8" w14:textId="77777777" w:rsidR="0002347B" w:rsidRPr="0002347B" w:rsidRDefault="0002347B" w:rsidP="0002347B">
            <w:pPr>
              <w:rPr>
                <w:rFonts w:ascii="Times New Roman" w:eastAsiaTheme="minorHAnsi" w:hAnsi="Times New Roman"/>
                <w:szCs w:val="22"/>
              </w:rPr>
            </w:pPr>
          </w:p>
        </w:tc>
        <w:tc>
          <w:tcPr>
            <w:tcW w:w="1737" w:type="dxa"/>
          </w:tcPr>
          <w:p w14:paraId="629EDABF" w14:textId="77777777" w:rsidR="0002347B" w:rsidRPr="0002347B" w:rsidRDefault="0002347B" w:rsidP="0002347B">
            <w:pPr>
              <w:rPr>
                <w:rFonts w:ascii="Times New Roman" w:eastAsiaTheme="minorHAnsi" w:hAnsi="Times New Roman"/>
                <w:szCs w:val="22"/>
              </w:rPr>
            </w:pPr>
          </w:p>
        </w:tc>
        <w:tc>
          <w:tcPr>
            <w:tcW w:w="1694" w:type="dxa"/>
          </w:tcPr>
          <w:p w14:paraId="033AC082" w14:textId="3889F991" w:rsidR="0002347B" w:rsidRPr="0002347B" w:rsidRDefault="001E5AA4" w:rsidP="0002347B">
            <w:pPr>
              <w:rPr>
                <w:rFonts w:ascii="Times New Roman" w:eastAsiaTheme="minorHAnsi" w:hAnsi="Times New Roman"/>
                <w:szCs w:val="22"/>
              </w:rPr>
            </w:pPr>
            <w:r w:rsidRPr="0053015E">
              <w:rPr>
                <w:rFonts w:ascii="Times New Roman" w:eastAsiaTheme="minorHAnsi" w:hAnsi="Times New Roman"/>
                <w:szCs w:val="22"/>
              </w:rPr>
              <w:t>4.36%</w:t>
            </w:r>
          </w:p>
        </w:tc>
        <w:tc>
          <w:tcPr>
            <w:tcW w:w="1630" w:type="dxa"/>
          </w:tcPr>
          <w:p w14:paraId="7FF7FD03" w14:textId="77777777" w:rsidR="0002347B" w:rsidRPr="0002347B" w:rsidRDefault="0002347B" w:rsidP="0002347B">
            <w:pPr>
              <w:rPr>
                <w:rFonts w:ascii="Times New Roman" w:eastAsiaTheme="minorHAnsi" w:hAnsi="Times New Roman"/>
                <w:szCs w:val="22"/>
              </w:rPr>
            </w:pPr>
          </w:p>
        </w:tc>
      </w:tr>
      <w:tr w:rsidR="0002347B" w:rsidRPr="0002347B" w14:paraId="5D448EC3" w14:textId="77777777" w:rsidTr="000C33D9">
        <w:tc>
          <w:tcPr>
            <w:tcW w:w="1467" w:type="dxa"/>
          </w:tcPr>
          <w:p w14:paraId="3D8EF452"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CY2021</w:t>
            </w:r>
          </w:p>
        </w:tc>
        <w:tc>
          <w:tcPr>
            <w:tcW w:w="1630" w:type="dxa"/>
          </w:tcPr>
          <w:p w14:paraId="303FD424" w14:textId="77777777" w:rsidR="0002347B" w:rsidRPr="0002347B" w:rsidRDefault="0002347B" w:rsidP="0002347B">
            <w:pPr>
              <w:rPr>
                <w:rFonts w:ascii="Times New Roman" w:eastAsiaTheme="minorHAnsi" w:hAnsi="Times New Roman"/>
                <w:szCs w:val="22"/>
              </w:rPr>
            </w:pPr>
          </w:p>
        </w:tc>
        <w:tc>
          <w:tcPr>
            <w:tcW w:w="1737" w:type="dxa"/>
          </w:tcPr>
          <w:p w14:paraId="1BBA4791"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0.3%</w:t>
            </w:r>
          </w:p>
        </w:tc>
        <w:tc>
          <w:tcPr>
            <w:tcW w:w="1694" w:type="dxa"/>
          </w:tcPr>
          <w:p w14:paraId="54583B06" w14:textId="77777777" w:rsidR="0002347B" w:rsidRPr="0002347B" w:rsidRDefault="0002347B" w:rsidP="0002347B">
            <w:pPr>
              <w:rPr>
                <w:rFonts w:ascii="Times New Roman" w:eastAsiaTheme="minorHAnsi" w:hAnsi="Times New Roman"/>
                <w:szCs w:val="22"/>
              </w:rPr>
            </w:pPr>
          </w:p>
        </w:tc>
        <w:tc>
          <w:tcPr>
            <w:tcW w:w="1630" w:type="dxa"/>
          </w:tcPr>
          <w:p w14:paraId="57DD3B9B" w14:textId="77777777" w:rsidR="0002347B" w:rsidRPr="0002347B" w:rsidRDefault="0002347B" w:rsidP="0002347B">
            <w:pPr>
              <w:rPr>
                <w:rFonts w:ascii="Times New Roman" w:eastAsiaTheme="minorHAnsi" w:hAnsi="Times New Roman"/>
                <w:szCs w:val="22"/>
              </w:rPr>
            </w:pPr>
          </w:p>
        </w:tc>
      </w:tr>
      <w:tr w:rsidR="0002347B" w:rsidRPr="0002347B" w14:paraId="641A4B15" w14:textId="77777777" w:rsidTr="000C33D9">
        <w:tc>
          <w:tcPr>
            <w:tcW w:w="1467" w:type="dxa"/>
          </w:tcPr>
          <w:p w14:paraId="2A25A66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CY2022</w:t>
            </w:r>
          </w:p>
        </w:tc>
        <w:tc>
          <w:tcPr>
            <w:tcW w:w="1630" w:type="dxa"/>
          </w:tcPr>
          <w:p w14:paraId="016EB0C4" w14:textId="77777777" w:rsidR="0002347B" w:rsidRPr="0002347B" w:rsidRDefault="0002347B" w:rsidP="0002347B">
            <w:pPr>
              <w:rPr>
                <w:rFonts w:ascii="Times New Roman" w:eastAsiaTheme="minorHAnsi" w:hAnsi="Times New Roman"/>
                <w:szCs w:val="22"/>
              </w:rPr>
            </w:pPr>
          </w:p>
        </w:tc>
        <w:tc>
          <w:tcPr>
            <w:tcW w:w="1737" w:type="dxa"/>
          </w:tcPr>
          <w:p w14:paraId="0E800AC6"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0.5%</w:t>
            </w:r>
          </w:p>
        </w:tc>
        <w:tc>
          <w:tcPr>
            <w:tcW w:w="1694" w:type="dxa"/>
          </w:tcPr>
          <w:p w14:paraId="612A10EA" w14:textId="77777777" w:rsidR="0002347B" w:rsidRPr="0002347B" w:rsidRDefault="0002347B" w:rsidP="0002347B">
            <w:pPr>
              <w:rPr>
                <w:rFonts w:ascii="Times New Roman" w:eastAsiaTheme="minorHAnsi" w:hAnsi="Times New Roman"/>
                <w:szCs w:val="22"/>
              </w:rPr>
            </w:pPr>
          </w:p>
        </w:tc>
        <w:tc>
          <w:tcPr>
            <w:tcW w:w="1630" w:type="dxa"/>
          </w:tcPr>
          <w:p w14:paraId="25D7D530" w14:textId="77777777" w:rsidR="0002347B" w:rsidRPr="0002347B" w:rsidRDefault="0002347B" w:rsidP="0002347B">
            <w:pPr>
              <w:rPr>
                <w:rFonts w:ascii="Times New Roman" w:eastAsiaTheme="minorHAnsi" w:hAnsi="Times New Roman"/>
                <w:szCs w:val="22"/>
              </w:rPr>
            </w:pPr>
          </w:p>
        </w:tc>
      </w:tr>
      <w:tr w:rsidR="0002347B" w:rsidRPr="0053015E" w14:paraId="6828E1ED" w14:textId="77777777" w:rsidTr="000C33D9">
        <w:tc>
          <w:tcPr>
            <w:tcW w:w="1467" w:type="dxa"/>
          </w:tcPr>
          <w:p w14:paraId="40AA883F" w14:textId="698EB2C3" w:rsidR="0002347B" w:rsidRPr="0053015E" w:rsidRDefault="0002347B" w:rsidP="0002347B">
            <w:pPr>
              <w:rPr>
                <w:rFonts w:ascii="Times New Roman" w:eastAsiaTheme="minorHAnsi" w:hAnsi="Times New Roman"/>
                <w:szCs w:val="22"/>
              </w:rPr>
            </w:pPr>
            <w:r w:rsidRPr="0053015E">
              <w:rPr>
                <w:rFonts w:ascii="Times New Roman" w:eastAsiaTheme="minorHAnsi" w:hAnsi="Times New Roman"/>
                <w:szCs w:val="22"/>
              </w:rPr>
              <w:t>CY</w:t>
            </w:r>
            <w:r w:rsidR="00C02B22" w:rsidRPr="0053015E">
              <w:rPr>
                <w:rFonts w:ascii="Times New Roman" w:eastAsiaTheme="minorHAnsi" w:hAnsi="Times New Roman"/>
                <w:szCs w:val="22"/>
              </w:rPr>
              <w:t>2023</w:t>
            </w:r>
          </w:p>
        </w:tc>
        <w:tc>
          <w:tcPr>
            <w:tcW w:w="1630" w:type="dxa"/>
          </w:tcPr>
          <w:p w14:paraId="6939B439" w14:textId="6DB640BE" w:rsidR="0002347B" w:rsidRPr="0053015E" w:rsidRDefault="009568C4" w:rsidP="0002347B">
            <w:pPr>
              <w:rPr>
                <w:rFonts w:ascii="Times New Roman" w:eastAsiaTheme="minorHAnsi" w:hAnsi="Times New Roman"/>
                <w:szCs w:val="22"/>
              </w:rPr>
            </w:pPr>
            <w:r w:rsidRPr="0053015E">
              <w:rPr>
                <w:rFonts w:ascii="Times New Roman" w:eastAsiaTheme="minorHAnsi" w:hAnsi="Times New Roman"/>
                <w:szCs w:val="22"/>
              </w:rPr>
              <w:t>5.2% forecast error</w:t>
            </w:r>
          </w:p>
        </w:tc>
        <w:tc>
          <w:tcPr>
            <w:tcW w:w="1737" w:type="dxa"/>
          </w:tcPr>
          <w:p w14:paraId="65C3D8A7" w14:textId="746ED097" w:rsidR="0002347B" w:rsidRPr="0053015E" w:rsidRDefault="003909C1" w:rsidP="0002347B">
            <w:pPr>
              <w:rPr>
                <w:rFonts w:ascii="Times New Roman" w:eastAsiaTheme="minorHAnsi" w:hAnsi="Times New Roman"/>
                <w:szCs w:val="22"/>
              </w:rPr>
            </w:pPr>
            <w:r w:rsidRPr="0053015E">
              <w:rPr>
                <w:rFonts w:ascii="Times New Roman" w:eastAsiaTheme="minorHAnsi" w:hAnsi="Times New Roman"/>
                <w:szCs w:val="22"/>
              </w:rPr>
              <w:t>0.20%</w:t>
            </w:r>
          </w:p>
        </w:tc>
        <w:tc>
          <w:tcPr>
            <w:tcW w:w="1694" w:type="dxa"/>
          </w:tcPr>
          <w:p w14:paraId="255B78BA" w14:textId="4069F52B" w:rsidR="0002347B" w:rsidRPr="0053015E" w:rsidRDefault="00C02B22" w:rsidP="0002347B">
            <w:pPr>
              <w:rPr>
                <w:rFonts w:ascii="Times New Roman" w:eastAsiaTheme="minorHAnsi" w:hAnsi="Times New Roman"/>
                <w:szCs w:val="22"/>
              </w:rPr>
            </w:pPr>
            <w:r w:rsidRPr="0053015E">
              <w:rPr>
                <w:rFonts w:ascii="Times New Roman" w:eastAsiaTheme="minorHAnsi" w:hAnsi="Times New Roman"/>
                <w:szCs w:val="22"/>
              </w:rPr>
              <w:t>3.925%</w:t>
            </w:r>
          </w:p>
        </w:tc>
        <w:tc>
          <w:tcPr>
            <w:tcW w:w="1630" w:type="dxa"/>
          </w:tcPr>
          <w:p w14:paraId="41334D4A" w14:textId="77777777" w:rsidR="0002347B" w:rsidRPr="0053015E" w:rsidRDefault="0002347B" w:rsidP="0002347B">
            <w:pPr>
              <w:rPr>
                <w:rFonts w:ascii="Times New Roman" w:eastAsiaTheme="minorHAnsi" w:hAnsi="Times New Roman"/>
                <w:szCs w:val="22"/>
              </w:rPr>
            </w:pPr>
          </w:p>
        </w:tc>
      </w:tr>
      <w:tr w:rsidR="00DC1A2B" w:rsidRPr="0053015E" w14:paraId="3DF1E26A" w14:textId="77777777" w:rsidTr="000C33D9">
        <w:tc>
          <w:tcPr>
            <w:tcW w:w="1467" w:type="dxa"/>
          </w:tcPr>
          <w:p w14:paraId="6FAA4315" w14:textId="0CFE57C6" w:rsidR="00DC1A2B" w:rsidRPr="0053015E" w:rsidRDefault="00DC1A2B" w:rsidP="0002347B">
            <w:pPr>
              <w:rPr>
                <w:rFonts w:ascii="Times New Roman" w:eastAsiaTheme="minorHAnsi" w:hAnsi="Times New Roman"/>
                <w:szCs w:val="22"/>
              </w:rPr>
            </w:pPr>
            <w:r w:rsidRPr="0053015E">
              <w:rPr>
                <w:rFonts w:ascii="Times New Roman" w:eastAsiaTheme="minorHAnsi" w:hAnsi="Times New Roman"/>
                <w:szCs w:val="22"/>
              </w:rPr>
              <w:t xml:space="preserve">CY2024 </w:t>
            </w:r>
          </w:p>
        </w:tc>
        <w:tc>
          <w:tcPr>
            <w:tcW w:w="1630" w:type="dxa"/>
          </w:tcPr>
          <w:p w14:paraId="71DC75A3" w14:textId="77777777" w:rsidR="00DC1A2B" w:rsidRPr="0053015E" w:rsidRDefault="00DC1A2B" w:rsidP="0002347B">
            <w:pPr>
              <w:rPr>
                <w:rFonts w:ascii="Times New Roman" w:eastAsiaTheme="minorHAnsi" w:hAnsi="Times New Roman"/>
                <w:szCs w:val="22"/>
              </w:rPr>
            </w:pPr>
          </w:p>
        </w:tc>
        <w:tc>
          <w:tcPr>
            <w:tcW w:w="1737" w:type="dxa"/>
          </w:tcPr>
          <w:p w14:paraId="3199D58B" w14:textId="2AB98121" w:rsidR="00DC1A2B" w:rsidRPr="0053015E" w:rsidRDefault="00864046" w:rsidP="0002347B">
            <w:pPr>
              <w:rPr>
                <w:rFonts w:ascii="Times New Roman" w:eastAsiaTheme="minorHAnsi" w:hAnsi="Times New Roman"/>
                <w:szCs w:val="22"/>
              </w:rPr>
            </w:pPr>
            <w:r w:rsidRPr="0053015E">
              <w:rPr>
                <w:rFonts w:ascii="Times New Roman" w:eastAsiaTheme="minorHAnsi" w:hAnsi="Times New Roman"/>
                <w:szCs w:val="22"/>
              </w:rPr>
              <w:t>0.30%</w:t>
            </w:r>
          </w:p>
        </w:tc>
        <w:tc>
          <w:tcPr>
            <w:tcW w:w="1694" w:type="dxa"/>
          </w:tcPr>
          <w:p w14:paraId="75A1FB8D" w14:textId="74442D58" w:rsidR="00DC1A2B" w:rsidRPr="0053015E" w:rsidRDefault="00D43DA4" w:rsidP="0002347B">
            <w:pPr>
              <w:rPr>
                <w:rFonts w:ascii="Times New Roman" w:eastAsiaTheme="minorHAnsi" w:hAnsi="Times New Roman"/>
                <w:szCs w:val="22"/>
              </w:rPr>
            </w:pPr>
            <w:r>
              <w:rPr>
                <w:rFonts w:ascii="Times New Roman" w:eastAsiaTheme="minorHAnsi" w:hAnsi="Times New Roman"/>
                <w:szCs w:val="22"/>
              </w:rPr>
              <w:t>2.89</w:t>
            </w:r>
            <w:r w:rsidR="00DC1A2B" w:rsidRPr="0053015E">
              <w:rPr>
                <w:rFonts w:ascii="Times New Roman" w:eastAsiaTheme="minorHAnsi" w:hAnsi="Times New Roman"/>
                <w:szCs w:val="22"/>
              </w:rPr>
              <w:t>%</w:t>
            </w:r>
          </w:p>
        </w:tc>
        <w:tc>
          <w:tcPr>
            <w:tcW w:w="1630" w:type="dxa"/>
          </w:tcPr>
          <w:p w14:paraId="623C4A0E" w14:textId="77777777" w:rsidR="00DC1A2B" w:rsidRPr="0053015E" w:rsidRDefault="00DC1A2B" w:rsidP="0002347B">
            <w:pPr>
              <w:rPr>
                <w:rFonts w:ascii="Times New Roman" w:eastAsiaTheme="minorHAnsi" w:hAnsi="Times New Roman"/>
                <w:szCs w:val="22"/>
              </w:rPr>
            </w:pPr>
          </w:p>
        </w:tc>
      </w:tr>
      <w:tr w:rsidR="00D43DA4" w:rsidRPr="0053015E" w14:paraId="1406ED7D" w14:textId="77777777" w:rsidTr="000C33D9">
        <w:tc>
          <w:tcPr>
            <w:tcW w:w="1467" w:type="dxa"/>
          </w:tcPr>
          <w:p w14:paraId="2F7E94DD" w14:textId="272C79BA" w:rsidR="00D43DA4" w:rsidRPr="0053015E" w:rsidRDefault="00D43DA4" w:rsidP="0002347B">
            <w:pPr>
              <w:rPr>
                <w:rFonts w:ascii="Times New Roman" w:eastAsiaTheme="minorHAnsi" w:hAnsi="Times New Roman"/>
                <w:szCs w:val="22"/>
              </w:rPr>
            </w:pPr>
            <w:r>
              <w:rPr>
                <w:rFonts w:ascii="Times New Roman" w:eastAsiaTheme="minorHAnsi" w:hAnsi="Times New Roman"/>
                <w:szCs w:val="22"/>
              </w:rPr>
              <w:t>CY</w:t>
            </w:r>
            <w:r w:rsidR="00C84420">
              <w:rPr>
                <w:rFonts w:ascii="Times New Roman" w:eastAsiaTheme="minorHAnsi" w:hAnsi="Times New Roman"/>
                <w:szCs w:val="22"/>
              </w:rPr>
              <w:t>2025 (proposed)</w:t>
            </w:r>
          </w:p>
        </w:tc>
        <w:tc>
          <w:tcPr>
            <w:tcW w:w="1630" w:type="dxa"/>
          </w:tcPr>
          <w:p w14:paraId="2621B562" w14:textId="77777777" w:rsidR="00D43DA4" w:rsidRPr="0053015E" w:rsidRDefault="00D43DA4" w:rsidP="0002347B">
            <w:pPr>
              <w:rPr>
                <w:rFonts w:ascii="Times New Roman" w:eastAsiaTheme="minorHAnsi" w:hAnsi="Times New Roman"/>
                <w:szCs w:val="22"/>
              </w:rPr>
            </w:pPr>
          </w:p>
        </w:tc>
        <w:tc>
          <w:tcPr>
            <w:tcW w:w="1737" w:type="dxa"/>
          </w:tcPr>
          <w:p w14:paraId="763834EF" w14:textId="419F685F" w:rsidR="00D43DA4" w:rsidRPr="0053015E" w:rsidRDefault="004D5947" w:rsidP="0002347B">
            <w:pPr>
              <w:rPr>
                <w:rFonts w:ascii="Times New Roman" w:eastAsiaTheme="minorHAnsi" w:hAnsi="Times New Roman"/>
                <w:szCs w:val="22"/>
              </w:rPr>
            </w:pPr>
            <w:r>
              <w:rPr>
                <w:rFonts w:ascii="Times New Roman" w:eastAsiaTheme="minorHAnsi" w:hAnsi="Times New Roman"/>
                <w:szCs w:val="22"/>
              </w:rPr>
              <w:t>0.50%</w:t>
            </w:r>
          </w:p>
        </w:tc>
        <w:tc>
          <w:tcPr>
            <w:tcW w:w="1694" w:type="dxa"/>
          </w:tcPr>
          <w:p w14:paraId="6553A7D6" w14:textId="0EB5E898" w:rsidR="00D43DA4" w:rsidRDefault="00C84420" w:rsidP="0002347B">
            <w:pPr>
              <w:rPr>
                <w:rFonts w:ascii="Times New Roman" w:eastAsiaTheme="minorHAnsi" w:hAnsi="Times New Roman"/>
                <w:szCs w:val="22"/>
              </w:rPr>
            </w:pPr>
            <w:r>
              <w:rPr>
                <w:rFonts w:ascii="Times New Roman" w:eastAsiaTheme="minorHAnsi" w:hAnsi="Times New Roman"/>
                <w:szCs w:val="22"/>
              </w:rPr>
              <w:t>4.067%</w:t>
            </w:r>
          </w:p>
        </w:tc>
        <w:tc>
          <w:tcPr>
            <w:tcW w:w="1630" w:type="dxa"/>
          </w:tcPr>
          <w:p w14:paraId="555AB60D" w14:textId="77777777" w:rsidR="00D43DA4" w:rsidRPr="0053015E" w:rsidRDefault="00D43DA4" w:rsidP="0002347B">
            <w:pPr>
              <w:rPr>
                <w:rFonts w:ascii="Times New Roman" w:eastAsiaTheme="minorHAnsi" w:hAnsi="Times New Roman"/>
                <w:szCs w:val="22"/>
              </w:rPr>
            </w:pPr>
          </w:p>
        </w:tc>
      </w:tr>
      <w:tr w:rsidR="0002347B" w:rsidRPr="0002347B" w14:paraId="425BC6C1" w14:textId="77777777" w:rsidTr="000C33D9">
        <w:tc>
          <w:tcPr>
            <w:tcW w:w="1467" w:type="dxa"/>
          </w:tcPr>
          <w:p w14:paraId="5FBF4AC1" w14:textId="7A4E1EAD"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TOTAL REDUCTIONS</w:t>
            </w:r>
            <w:r w:rsidR="008D2B91" w:rsidRPr="0053015E">
              <w:rPr>
                <w:rFonts w:ascii="Times New Roman" w:eastAsiaTheme="minorHAnsi" w:hAnsi="Times New Roman"/>
                <w:szCs w:val="22"/>
              </w:rPr>
              <w:t>*</w:t>
            </w:r>
          </w:p>
        </w:tc>
        <w:tc>
          <w:tcPr>
            <w:tcW w:w="1630" w:type="dxa"/>
          </w:tcPr>
          <w:p w14:paraId="48A3BE0E" w14:textId="3E9A81D1" w:rsidR="0002347B" w:rsidRPr="0002347B" w:rsidRDefault="009568C4" w:rsidP="0002347B">
            <w:pPr>
              <w:rPr>
                <w:rFonts w:ascii="Times New Roman" w:eastAsiaTheme="minorHAnsi" w:hAnsi="Times New Roman"/>
                <w:szCs w:val="22"/>
              </w:rPr>
            </w:pPr>
            <w:r w:rsidRPr="0053015E">
              <w:rPr>
                <w:rFonts w:ascii="Times New Roman" w:eastAsiaTheme="minorHAnsi" w:hAnsi="Times New Roman"/>
                <w:szCs w:val="22"/>
              </w:rPr>
              <w:t>12.9</w:t>
            </w:r>
            <w:r w:rsidR="0002347B" w:rsidRPr="0002347B">
              <w:rPr>
                <w:rFonts w:ascii="Times New Roman" w:eastAsiaTheme="minorHAnsi" w:hAnsi="Times New Roman"/>
                <w:szCs w:val="22"/>
              </w:rPr>
              <w:t>%</w:t>
            </w:r>
          </w:p>
        </w:tc>
        <w:tc>
          <w:tcPr>
            <w:tcW w:w="1737" w:type="dxa"/>
          </w:tcPr>
          <w:p w14:paraId="4CBF0729" w14:textId="49425C0E" w:rsidR="0002347B" w:rsidRPr="0002347B" w:rsidRDefault="003909C1" w:rsidP="0002347B">
            <w:pPr>
              <w:rPr>
                <w:rFonts w:ascii="Times New Roman" w:eastAsiaTheme="minorHAnsi" w:hAnsi="Times New Roman"/>
                <w:szCs w:val="22"/>
              </w:rPr>
            </w:pPr>
            <w:r w:rsidRPr="0053015E">
              <w:rPr>
                <w:rFonts w:ascii="Times New Roman" w:eastAsiaTheme="minorHAnsi" w:hAnsi="Times New Roman"/>
                <w:szCs w:val="22"/>
              </w:rPr>
              <w:t>3.</w:t>
            </w:r>
            <w:r w:rsidR="004D5947">
              <w:rPr>
                <w:rFonts w:ascii="Times New Roman" w:eastAsiaTheme="minorHAnsi" w:hAnsi="Times New Roman"/>
                <w:szCs w:val="22"/>
              </w:rPr>
              <w:t>8</w:t>
            </w:r>
            <w:r w:rsidRPr="0053015E">
              <w:rPr>
                <w:rFonts w:ascii="Times New Roman" w:eastAsiaTheme="minorHAnsi" w:hAnsi="Times New Roman"/>
                <w:szCs w:val="22"/>
              </w:rPr>
              <w:t>%</w:t>
            </w:r>
          </w:p>
        </w:tc>
        <w:tc>
          <w:tcPr>
            <w:tcW w:w="1694" w:type="dxa"/>
          </w:tcPr>
          <w:p w14:paraId="57829532" w14:textId="18503782" w:rsidR="0002347B" w:rsidRPr="0002347B" w:rsidRDefault="008D2B91" w:rsidP="0002347B">
            <w:pPr>
              <w:rPr>
                <w:rFonts w:ascii="Times New Roman" w:eastAsiaTheme="minorHAnsi" w:hAnsi="Times New Roman"/>
                <w:szCs w:val="22"/>
              </w:rPr>
            </w:pPr>
            <w:r w:rsidRPr="0053015E">
              <w:rPr>
                <w:rFonts w:ascii="Times New Roman" w:eastAsiaTheme="minorHAnsi" w:hAnsi="Times New Roman"/>
                <w:szCs w:val="22"/>
              </w:rPr>
              <w:t>5</w:t>
            </w:r>
            <w:r w:rsidR="004636AE">
              <w:rPr>
                <w:rFonts w:ascii="Times New Roman" w:eastAsiaTheme="minorHAnsi" w:hAnsi="Times New Roman"/>
                <w:szCs w:val="22"/>
              </w:rPr>
              <w:t>5.569</w:t>
            </w:r>
            <w:r w:rsidR="0002347B" w:rsidRPr="0002347B">
              <w:rPr>
                <w:rFonts w:ascii="Times New Roman" w:eastAsiaTheme="minorHAnsi" w:hAnsi="Times New Roman"/>
                <w:szCs w:val="22"/>
              </w:rPr>
              <w:t>%</w:t>
            </w:r>
          </w:p>
        </w:tc>
        <w:tc>
          <w:tcPr>
            <w:tcW w:w="1630" w:type="dxa"/>
          </w:tcPr>
          <w:p w14:paraId="47A28F2F" w14:textId="77777777" w:rsidR="0002347B" w:rsidRPr="0002347B" w:rsidRDefault="0002347B" w:rsidP="0002347B">
            <w:pPr>
              <w:rPr>
                <w:rFonts w:ascii="Times New Roman" w:eastAsiaTheme="minorHAnsi" w:hAnsi="Times New Roman"/>
                <w:szCs w:val="22"/>
              </w:rPr>
            </w:pPr>
            <w:r w:rsidRPr="0002347B">
              <w:rPr>
                <w:rFonts w:ascii="Times New Roman" w:eastAsiaTheme="minorHAnsi" w:hAnsi="Times New Roman"/>
                <w:szCs w:val="22"/>
              </w:rPr>
              <w:t>$322.60 (14.0%)</w:t>
            </w:r>
          </w:p>
        </w:tc>
      </w:tr>
    </w:tbl>
    <w:p w14:paraId="55E4BB4B" w14:textId="77777777" w:rsidR="0002347B" w:rsidRPr="0002347B" w:rsidRDefault="0002347B" w:rsidP="0002347B">
      <w:pPr>
        <w:spacing w:after="160" w:line="259" w:lineRule="auto"/>
        <w:rPr>
          <w:rFonts w:ascii="Times New Roman" w:eastAsiaTheme="minorHAnsi" w:hAnsi="Times New Roman"/>
          <w:szCs w:val="22"/>
        </w:rPr>
      </w:pPr>
      <w:r w:rsidRPr="0002347B">
        <w:rPr>
          <w:rFonts w:ascii="Times New Roman" w:eastAsiaTheme="minorHAnsi" w:hAnsi="Times New Roman"/>
          <w:szCs w:val="22"/>
        </w:rPr>
        <w:t>Sources:</w:t>
      </w:r>
    </w:p>
    <w:p w14:paraId="53415DE3" w14:textId="088BDE62" w:rsidR="008D2B91" w:rsidRDefault="008D2B91" w:rsidP="0002347B">
      <w:pPr>
        <w:spacing w:after="160"/>
        <w:rPr>
          <w:rFonts w:ascii="Times New Roman" w:eastAsiaTheme="minorHAnsi" w:hAnsi="Times New Roman"/>
          <w:szCs w:val="22"/>
        </w:rPr>
      </w:pPr>
      <w:r w:rsidRPr="0053015E">
        <w:rPr>
          <w:rFonts w:ascii="Times New Roman" w:eastAsiaTheme="minorHAnsi" w:hAnsi="Times New Roman"/>
          <w:szCs w:val="22"/>
        </w:rPr>
        <w:t>*This represents the sum of the</w:t>
      </w:r>
      <w:r w:rsidR="008E7055" w:rsidRPr="0053015E">
        <w:rPr>
          <w:rFonts w:ascii="Times New Roman" w:eastAsiaTheme="minorHAnsi" w:hAnsi="Times New Roman"/>
          <w:szCs w:val="22"/>
        </w:rPr>
        <w:t xml:space="preserve"> cuts. However, the cumulative impact is much greater as each cut affects the base rate on a permanent basis</w:t>
      </w:r>
      <w:r w:rsidR="001D0C9B" w:rsidRPr="0053015E">
        <w:rPr>
          <w:rFonts w:ascii="Times New Roman" w:eastAsiaTheme="minorHAnsi" w:hAnsi="Times New Roman"/>
          <w:szCs w:val="22"/>
        </w:rPr>
        <w:t xml:space="preserve">. </w:t>
      </w:r>
    </w:p>
    <w:p w14:paraId="11A1AB45" w14:textId="10D1422F" w:rsidR="007D5760" w:rsidRPr="0053015E" w:rsidRDefault="007D5760" w:rsidP="0002347B">
      <w:pPr>
        <w:spacing w:after="160"/>
        <w:rPr>
          <w:rFonts w:ascii="Times New Roman" w:eastAsiaTheme="minorHAnsi" w:hAnsi="Times New Roman"/>
          <w:szCs w:val="22"/>
        </w:rPr>
      </w:pPr>
      <w:r>
        <w:rPr>
          <w:rFonts w:ascii="Times New Roman" w:eastAsiaTheme="minorHAnsi" w:hAnsi="Times New Roman"/>
          <w:szCs w:val="22"/>
        </w:rPr>
        <w:t>** Reductions unrelated to adjustments made to achieve</w:t>
      </w:r>
      <w:r w:rsidR="00BD0624">
        <w:rPr>
          <w:rFonts w:ascii="Times New Roman" w:eastAsiaTheme="minorHAnsi" w:hAnsi="Times New Roman"/>
          <w:szCs w:val="22"/>
        </w:rPr>
        <w:t xml:space="preserve"> budget neutrality with case</w:t>
      </w:r>
      <w:r w:rsidR="00942F3B">
        <w:rPr>
          <w:rFonts w:ascii="Times New Roman" w:eastAsiaTheme="minorHAnsi" w:hAnsi="Times New Roman"/>
          <w:szCs w:val="22"/>
        </w:rPr>
        <w:t xml:space="preserve"> mix weight or wage index recalibrations</w:t>
      </w:r>
    </w:p>
    <w:p w14:paraId="42F21CA4" w14:textId="21FBC856"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FY2001: </w:t>
      </w:r>
      <w:hyperlink r:id="rId25" w:history="1">
        <w:r w:rsidRPr="0002347B">
          <w:rPr>
            <w:rFonts w:ascii="Times New Roman" w:eastAsiaTheme="minorHAnsi" w:hAnsi="Times New Roman"/>
            <w:color w:val="0563C1" w:themeColor="hyperlink"/>
            <w:szCs w:val="22"/>
            <w:u w:val="single"/>
          </w:rPr>
          <w:t>https://www.govinfo.gov/content/pkg/FR-2000-07-03/pdf/00-16432.pdf</w:t>
        </w:r>
      </w:hyperlink>
      <w:r w:rsidRPr="0002347B">
        <w:rPr>
          <w:rFonts w:ascii="Times New Roman" w:eastAsiaTheme="minorHAnsi" w:hAnsi="Times New Roman"/>
          <w:szCs w:val="22"/>
        </w:rPr>
        <w:t xml:space="preserve"> </w:t>
      </w:r>
    </w:p>
    <w:p w14:paraId="5D4184BC"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lastRenderedPageBreak/>
        <w:t xml:space="preserve">FY2002: </w:t>
      </w:r>
      <w:hyperlink r:id="rId26" w:history="1">
        <w:r w:rsidRPr="0002347B">
          <w:rPr>
            <w:rFonts w:ascii="Times New Roman" w:eastAsiaTheme="minorHAnsi" w:hAnsi="Times New Roman"/>
            <w:color w:val="0563C1" w:themeColor="hyperlink"/>
            <w:szCs w:val="22"/>
            <w:u w:val="single"/>
          </w:rPr>
          <w:t>https://www.cms.gov/Medicare/Medicare-Fee-for-Service-Payment/HomeHealthPPS/Downloads/CMS-1147-NC.pdf</w:t>
        </w:r>
      </w:hyperlink>
      <w:r w:rsidRPr="0002347B">
        <w:rPr>
          <w:rFonts w:ascii="Times New Roman" w:eastAsiaTheme="minorHAnsi" w:hAnsi="Times New Roman"/>
          <w:szCs w:val="22"/>
        </w:rPr>
        <w:t xml:space="preserve"> </w:t>
      </w:r>
    </w:p>
    <w:p w14:paraId="358E133D"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FY2003: </w:t>
      </w:r>
      <w:hyperlink r:id="rId27" w:history="1">
        <w:r w:rsidRPr="0002347B">
          <w:rPr>
            <w:rFonts w:ascii="Times New Roman" w:eastAsiaTheme="minorHAnsi" w:hAnsi="Times New Roman"/>
            <w:color w:val="0563C1" w:themeColor="hyperlink"/>
            <w:szCs w:val="22"/>
            <w:u w:val="single"/>
          </w:rPr>
          <w:t>https://www.cms.gov/Regulations-and-Guidance/Regulations-and-Policies/QuarterlyProviderUpdates/Downloads/cms1198nc.pdf</w:t>
        </w:r>
      </w:hyperlink>
      <w:r w:rsidRPr="0002347B">
        <w:rPr>
          <w:rFonts w:ascii="Times New Roman" w:eastAsiaTheme="minorHAnsi" w:hAnsi="Times New Roman"/>
          <w:szCs w:val="22"/>
        </w:rPr>
        <w:t xml:space="preserve"> </w:t>
      </w:r>
    </w:p>
    <w:p w14:paraId="2684D710"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FY2004: </w:t>
      </w:r>
      <w:hyperlink r:id="rId28" w:history="1">
        <w:r w:rsidRPr="0002347B">
          <w:rPr>
            <w:rFonts w:ascii="Times New Roman" w:eastAsiaTheme="minorHAnsi" w:hAnsi="Times New Roman"/>
            <w:color w:val="0563C1" w:themeColor="hyperlink"/>
            <w:szCs w:val="22"/>
            <w:u w:val="single"/>
          </w:rPr>
          <w:t>https://www.cms.gov/Medicare/Medicare-Fee-for-Service-Payment/HomeHealthPPS/Downloads/cms1473nc.pdf</w:t>
        </w:r>
      </w:hyperlink>
      <w:r w:rsidRPr="0002347B">
        <w:rPr>
          <w:rFonts w:ascii="Times New Roman" w:eastAsiaTheme="minorHAnsi" w:hAnsi="Times New Roman"/>
          <w:szCs w:val="22"/>
        </w:rPr>
        <w:t xml:space="preserve"> </w:t>
      </w:r>
    </w:p>
    <w:p w14:paraId="513B5ABA"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 2005: </w:t>
      </w:r>
      <w:hyperlink r:id="rId29" w:history="1">
        <w:r w:rsidRPr="0002347B">
          <w:rPr>
            <w:rFonts w:ascii="Times New Roman" w:eastAsiaTheme="minorHAnsi" w:hAnsi="Times New Roman"/>
            <w:color w:val="0563C1" w:themeColor="hyperlink"/>
            <w:szCs w:val="22"/>
            <w:u w:val="single"/>
          </w:rPr>
          <w:t>https://www.cms.gov/Regulations-and-Guidance/Regulations-and-Policies/QuarterlyProviderUpdates/Downloads/cms1265f.pdf</w:t>
        </w:r>
      </w:hyperlink>
      <w:r w:rsidRPr="0002347B">
        <w:rPr>
          <w:rFonts w:ascii="Times New Roman" w:eastAsiaTheme="minorHAnsi" w:hAnsi="Times New Roman"/>
          <w:szCs w:val="22"/>
        </w:rPr>
        <w:t xml:space="preserve"> </w:t>
      </w:r>
    </w:p>
    <w:p w14:paraId="6D146A35"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CY2006: </w:t>
      </w:r>
      <w:hyperlink r:id="rId30" w:history="1">
        <w:r w:rsidRPr="0002347B">
          <w:rPr>
            <w:rFonts w:ascii="Times New Roman" w:eastAsiaTheme="minorHAnsi" w:hAnsi="Times New Roman"/>
            <w:color w:val="0563C1" w:themeColor="hyperlink"/>
            <w:szCs w:val="22"/>
            <w:u w:val="single"/>
          </w:rPr>
          <w:t>https://www.cms.gov/Regulations-and-Guidance/Regulations-and-Policies/QuarterlyProviderUpdates/Downloads/cms1301f.pdf</w:t>
        </w:r>
      </w:hyperlink>
      <w:r w:rsidRPr="0002347B">
        <w:rPr>
          <w:rFonts w:ascii="Times New Roman" w:eastAsiaTheme="minorHAnsi" w:hAnsi="Times New Roman"/>
          <w:szCs w:val="22"/>
        </w:rPr>
        <w:t xml:space="preserve"> </w:t>
      </w:r>
      <w:r w:rsidRPr="0002347B">
        <w:rPr>
          <w:rFonts w:ascii="Times New Roman" w:eastAsiaTheme="minorHAnsi" w:hAnsi="Times New Roman"/>
          <w:szCs w:val="22"/>
        </w:rPr>
        <w:tab/>
      </w:r>
    </w:p>
    <w:p w14:paraId="433B6EE3"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CY2007: </w:t>
      </w:r>
      <w:hyperlink r:id="rId31" w:history="1">
        <w:r w:rsidRPr="0002347B">
          <w:rPr>
            <w:rFonts w:ascii="Times New Roman" w:eastAsiaTheme="minorHAnsi" w:hAnsi="Times New Roman"/>
            <w:color w:val="0563C1" w:themeColor="hyperlink"/>
            <w:szCs w:val="22"/>
            <w:u w:val="single"/>
          </w:rPr>
          <w:t>https://www.cms.gov/Medicare/Medicare-Fee-for-Service-Payment/HomeHealthPPS/Downloads/cms1304f.pdf</w:t>
        </w:r>
      </w:hyperlink>
      <w:r w:rsidRPr="0002347B">
        <w:rPr>
          <w:rFonts w:ascii="Times New Roman" w:eastAsiaTheme="minorHAnsi" w:hAnsi="Times New Roman"/>
          <w:szCs w:val="22"/>
        </w:rPr>
        <w:t xml:space="preserve"> </w:t>
      </w:r>
    </w:p>
    <w:p w14:paraId="5A19C937"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CY2008: </w:t>
      </w:r>
      <w:hyperlink r:id="rId32" w:history="1">
        <w:r w:rsidRPr="0002347B">
          <w:rPr>
            <w:rFonts w:ascii="Times New Roman" w:eastAsiaTheme="minorHAnsi" w:hAnsi="Times New Roman"/>
            <w:color w:val="0563C1" w:themeColor="hyperlink"/>
            <w:szCs w:val="22"/>
            <w:u w:val="single"/>
          </w:rPr>
          <w:t>https://www.govinfo.gov/content/pkg/FR-2007-08-29/pdf/07-4184.pdf</w:t>
        </w:r>
      </w:hyperlink>
      <w:r w:rsidRPr="0002347B">
        <w:rPr>
          <w:rFonts w:ascii="Times New Roman" w:eastAsiaTheme="minorHAnsi" w:hAnsi="Times New Roman"/>
          <w:szCs w:val="22"/>
        </w:rPr>
        <w:t xml:space="preserve"> </w:t>
      </w:r>
    </w:p>
    <w:p w14:paraId="2A491926"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CY2009: </w:t>
      </w:r>
      <w:hyperlink r:id="rId33" w:history="1">
        <w:r w:rsidRPr="0002347B">
          <w:rPr>
            <w:rFonts w:ascii="Times New Roman" w:eastAsiaTheme="minorHAnsi" w:hAnsi="Times New Roman"/>
            <w:color w:val="0563C1" w:themeColor="hyperlink"/>
            <w:szCs w:val="22"/>
            <w:u w:val="single"/>
          </w:rPr>
          <w:t>https://www.govinfo.gov/content/pkg/FR-2008-11-03/pdf/E8-26142.pdf</w:t>
        </w:r>
      </w:hyperlink>
      <w:r w:rsidRPr="0002347B">
        <w:rPr>
          <w:rFonts w:ascii="Times New Roman" w:eastAsiaTheme="minorHAnsi" w:hAnsi="Times New Roman"/>
          <w:szCs w:val="22"/>
        </w:rPr>
        <w:t xml:space="preserve"> </w:t>
      </w:r>
    </w:p>
    <w:p w14:paraId="51569C4C"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CY2010: </w:t>
      </w:r>
      <w:hyperlink r:id="rId34" w:history="1">
        <w:r w:rsidRPr="0002347B">
          <w:rPr>
            <w:rFonts w:ascii="Times New Roman" w:eastAsiaTheme="minorHAnsi" w:hAnsi="Times New Roman"/>
            <w:color w:val="0563C1" w:themeColor="hyperlink"/>
            <w:szCs w:val="22"/>
            <w:u w:val="single"/>
          </w:rPr>
          <w:t>https://www.govinfo.gov/content/pkg/FR-2009-11-10/pdf/E9-26503.pdf</w:t>
        </w:r>
      </w:hyperlink>
      <w:r w:rsidRPr="0002347B">
        <w:rPr>
          <w:rFonts w:ascii="Times New Roman" w:eastAsiaTheme="minorHAnsi" w:hAnsi="Times New Roman"/>
          <w:szCs w:val="22"/>
        </w:rPr>
        <w:t xml:space="preserve"> </w:t>
      </w:r>
    </w:p>
    <w:p w14:paraId="02B6F31E"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CY2011: </w:t>
      </w:r>
      <w:hyperlink r:id="rId35" w:history="1">
        <w:r w:rsidRPr="0002347B">
          <w:rPr>
            <w:rFonts w:ascii="Times New Roman" w:eastAsiaTheme="minorHAnsi" w:hAnsi="Times New Roman"/>
            <w:color w:val="0563C1" w:themeColor="hyperlink"/>
            <w:szCs w:val="22"/>
            <w:u w:val="single"/>
          </w:rPr>
          <w:t>https://www.govinfo.gov/content/pkg/FR-2010-11-17/pdf/2010-27778.pdf</w:t>
        </w:r>
      </w:hyperlink>
      <w:r w:rsidRPr="0002347B">
        <w:rPr>
          <w:rFonts w:ascii="Times New Roman" w:eastAsiaTheme="minorHAnsi" w:hAnsi="Times New Roman"/>
          <w:szCs w:val="22"/>
        </w:rPr>
        <w:t xml:space="preserve"> </w:t>
      </w:r>
    </w:p>
    <w:p w14:paraId="3F9981C4"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CY2012: </w:t>
      </w:r>
      <w:hyperlink r:id="rId36" w:history="1">
        <w:r w:rsidRPr="0002347B">
          <w:rPr>
            <w:rFonts w:ascii="Times New Roman" w:eastAsiaTheme="minorHAnsi" w:hAnsi="Times New Roman"/>
            <w:color w:val="0563C1" w:themeColor="hyperlink"/>
            <w:szCs w:val="22"/>
            <w:u w:val="single"/>
          </w:rPr>
          <w:t>https://www.govinfo.gov/content/pkg/FR-2011-11-04/pdf/2011-28416.pdf</w:t>
        </w:r>
      </w:hyperlink>
      <w:r w:rsidRPr="0002347B">
        <w:rPr>
          <w:rFonts w:ascii="Times New Roman" w:eastAsiaTheme="minorHAnsi" w:hAnsi="Times New Roman"/>
          <w:szCs w:val="22"/>
        </w:rPr>
        <w:t xml:space="preserve"> </w:t>
      </w:r>
    </w:p>
    <w:p w14:paraId="7F141B10"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CY2013: </w:t>
      </w:r>
      <w:hyperlink r:id="rId37" w:history="1">
        <w:r w:rsidRPr="0002347B">
          <w:rPr>
            <w:rFonts w:ascii="Times New Roman" w:eastAsiaTheme="minorHAnsi" w:hAnsi="Times New Roman"/>
            <w:color w:val="0563C1" w:themeColor="hyperlink"/>
            <w:szCs w:val="22"/>
            <w:u w:val="single"/>
          </w:rPr>
          <w:t>https://www.govinfo.gov/content/pkg/FR-2012-11-08/pdf/2012-26904.pdf</w:t>
        </w:r>
      </w:hyperlink>
      <w:r w:rsidRPr="0002347B">
        <w:rPr>
          <w:rFonts w:ascii="Times New Roman" w:eastAsiaTheme="minorHAnsi" w:hAnsi="Times New Roman"/>
          <w:szCs w:val="22"/>
        </w:rPr>
        <w:t xml:space="preserve"> </w:t>
      </w:r>
    </w:p>
    <w:p w14:paraId="415F2402"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CY2014: </w:t>
      </w:r>
      <w:hyperlink r:id="rId38" w:history="1">
        <w:r w:rsidRPr="0002347B">
          <w:rPr>
            <w:rFonts w:ascii="Times New Roman" w:eastAsiaTheme="minorHAnsi" w:hAnsi="Times New Roman"/>
            <w:color w:val="0563C1" w:themeColor="hyperlink"/>
            <w:szCs w:val="22"/>
            <w:u w:val="single"/>
          </w:rPr>
          <w:t>https://www.govinfo.gov/content/pkg/FR-2013-12-02/pdf/2013-28457.pdf</w:t>
        </w:r>
      </w:hyperlink>
      <w:r w:rsidRPr="0002347B">
        <w:rPr>
          <w:rFonts w:ascii="Times New Roman" w:eastAsiaTheme="minorHAnsi" w:hAnsi="Times New Roman"/>
          <w:szCs w:val="22"/>
        </w:rPr>
        <w:t xml:space="preserve"> </w:t>
      </w:r>
    </w:p>
    <w:p w14:paraId="79F5297B"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CY2015: </w:t>
      </w:r>
      <w:hyperlink r:id="rId39" w:history="1">
        <w:r w:rsidRPr="0002347B">
          <w:rPr>
            <w:rFonts w:ascii="Times New Roman" w:eastAsiaTheme="minorHAnsi" w:hAnsi="Times New Roman"/>
            <w:color w:val="0563C1" w:themeColor="hyperlink"/>
            <w:szCs w:val="22"/>
            <w:u w:val="single"/>
          </w:rPr>
          <w:t>https://www.govinfo.gov/content/pkg/FR-2014-11-06/pdf/2014-26057.pdf</w:t>
        </w:r>
      </w:hyperlink>
      <w:r w:rsidRPr="0002347B">
        <w:rPr>
          <w:rFonts w:ascii="Times New Roman" w:eastAsiaTheme="minorHAnsi" w:hAnsi="Times New Roman"/>
          <w:szCs w:val="22"/>
        </w:rPr>
        <w:t xml:space="preserve"> </w:t>
      </w:r>
    </w:p>
    <w:p w14:paraId="4D453BD5"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CY2016: </w:t>
      </w:r>
      <w:hyperlink r:id="rId40" w:history="1">
        <w:r w:rsidRPr="0002347B">
          <w:rPr>
            <w:rFonts w:ascii="Times New Roman" w:eastAsiaTheme="minorHAnsi" w:hAnsi="Times New Roman"/>
            <w:color w:val="0563C1" w:themeColor="hyperlink"/>
            <w:szCs w:val="22"/>
            <w:u w:val="single"/>
          </w:rPr>
          <w:t>https://www.govinfo.gov/content/pkg/FR-2015-11-05/pdf/2015-27931.pdf</w:t>
        </w:r>
      </w:hyperlink>
      <w:r w:rsidRPr="0002347B">
        <w:rPr>
          <w:rFonts w:ascii="Times New Roman" w:eastAsiaTheme="minorHAnsi" w:hAnsi="Times New Roman"/>
          <w:szCs w:val="22"/>
        </w:rPr>
        <w:t xml:space="preserve"> </w:t>
      </w:r>
    </w:p>
    <w:p w14:paraId="741546CC"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CY2017: </w:t>
      </w:r>
      <w:hyperlink r:id="rId41" w:history="1">
        <w:r w:rsidRPr="0002347B">
          <w:rPr>
            <w:rFonts w:ascii="Times New Roman" w:eastAsiaTheme="minorHAnsi" w:hAnsi="Times New Roman"/>
            <w:color w:val="0563C1" w:themeColor="hyperlink"/>
            <w:szCs w:val="22"/>
            <w:u w:val="single"/>
          </w:rPr>
          <w:t>https://www.govinfo.gov/content/pkg/FR-2016-11-03/pdf/2016-26290.pdf</w:t>
        </w:r>
      </w:hyperlink>
      <w:r w:rsidRPr="0002347B">
        <w:rPr>
          <w:rFonts w:ascii="Times New Roman" w:eastAsiaTheme="minorHAnsi" w:hAnsi="Times New Roman"/>
          <w:szCs w:val="22"/>
        </w:rPr>
        <w:t xml:space="preserve"> </w:t>
      </w:r>
    </w:p>
    <w:p w14:paraId="6F49F9F1"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CY2018: </w:t>
      </w:r>
      <w:hyperlink r:id="rId42" w:history="1">
        <w:r w:rsidRPr="0002347B">
          <w:rPr>
            <w:rFonts w:ascii="Times New Roman" w:eastAsiaTheme="minorHAnsi" w:hAnsi="Times New Roman"/>
            <w:color w:val="0563C1" w:themeColor="hyperlink"/>
            <w:szCs w:val="22"/>
            <w:u w:val="single"/>
          </w:rPr>
          <w:t>https://www.govinfo.gov/content/pkg/FR-2017-11-07/pdf/2017-23935.pdf</w:t>
        </w:r>
      </w:hyperlink>
      <w:r w:rsidRPr="0002347B">
        <w:rPr>
          <w:rFonts w:ascii="Times New Roman" w:eastAsiaTheme="minorHAnsi" w:hAnsi="Times New Roman"/>
          <w:szCs w:val="22"/>
        </w:rPr>
        <w:t xml:space="preserve"> </w:t>
      </w:r>
    </w:p>
    <w:p w14:paraId="040679E2"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CY2019: </w:t>
      </w:r>
      <w:hyperlink r:id="rId43" w:history="1">
        <w:r w:rsidRPr="0002347B">
          <w:rPr>
            <w:rFonts w:ascii="Times New Roman" w:eastAsiaTheme="minorHAnsi" w:hAnsi="Times New Roman"/>
            <w:color w:val="0563C1" w:themeColor="hyperlink"/>
            <w:szCs w:val="22"/>
            <w:u w:val="single"/>
          </w:rPr>
          <w:t>https://www.govinfo.gov/content/pkg/FR-2018-11-13/pdf/2018-24145.pdf</w:t>
        </w:r>
      </w:hyperlink>
      <w:r w:rsidRPr="0002347B">
        <w:rPr>
          <w:rFonts w:ascii="Times New Roman" w:eastAsiaTheme="minorHAnsi" w:hAnsi="Times New Roman"/>
          <w:szCs w:val="22"/>
        </w:rPr>
        <w:t xml:space="preserve"> </w:t>
      </w:r>
    </w:p>
    <w:p w14:paraId="077E72CD"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CY2020: </w:t>
      </w:r>
      <w:hyperlink r:id="rId44" w:history="1">
        <w:r w:rsidRPr="0002347B">
          <w:rPr>
            <w:rFonts w:ascii="Times New Roman" w:eastAsiaTheme="minorHAnsi" w:hAnsi="Times New Roman"/>
            <w:color w:val="0563C1" w:themeColor="hyperlink"/>
            <w:szCs w:val="22"/>
            <w:u w:val="single"/>
          </w:rPr>
          <w:t>https://www.govinfo.gov/content/pkg/FR-2019-11-08/pdf/2019-24026.pdf</w:t>
        </w:r>
      </w:hyperlink>
      <w:r w:rsidRPr="0002347B">
        <w:rPr>
          <w:rFonts w:ascii="Times New Roman" w:eastAsiaTheme="minorHAnsi" w:hAnsi="Times New Roman"/>
          <w:szCs w:val="22"/>
        </w:rPr>
        <w:t xml:space="preserve"> </w:t>
      </w:r>
    </w:p>
    <w:p w14:paraId="1906CF95" w14:textId="77777777" w:rsidR="0002347B" w:rsidRPr="0002347B" w:rsidRDefault="0002347B" w:rsidP="0002347B">
      <w:pPr>
        <w:spacing w:after="160"/>
        <w:rPr>
          <w:rFonts w:ascii="Times New Roman" w:eastAsiaTheme="minorHAnsi" w:hAnsi="Times New Roman"/>
          <w:szCs w:val="22"/>
        </w:rPr>
      </w:pPr>
      <w:r w:rsidRPr="0002347B">
        <w:rPr>
          <w:rFonts w:ascii="Times New Roman" w:eastAsiaTheme="minorHAnsi" w:hAnsi="Times New Roman"/>
          <w:szCs w:val="22"/>
        </w:rPr>
        <w:t xml:space="preserve">CY2021: </w:t>
      </w:r>
      <w:hyperlink r:id="rId45" w:history="1">
        <w:r w:rsidRPr="0002347B">
          <w:rPr>
            <w:rFonts w:ascii="Times New Roman" w:eastAsiaTheme="minorHAnsi" w:hAnsi="Times New Roman"/>
            <w:color w:val="0563C1" w:themeColor="hyperlink"/>
            <w:szCs w:val="22"/>
            <w:u w:val="single"/>
          </w:rPr>
          <w:t>https://www.govinfo.gov/content/pkg/FR-2020-11-04/pdf/2020-24146.pdf</w:t>
        </w:r>
      </w:hyperlink>
      <w:r w:rsidRPr="0002347B">
        <w:rPr>
          <w:rFonts w:ascii="Times New Roman" w:eastAsiaTheme="minorHAnsi" w:hAnsi="Times New Roman"/>
          <w:szCs w:val="22"/>
        </w:rPr>
        <w:t xml:space="preserve"> </w:t>
      </w:r>
    </w:p>
    <w:p w14:paraId="04D0C42C" w14:textId="355647F1" w:rsidR="001238E6" w:rsidRPr="0053015E" w:rsidRDefault="0002347B" w:rsidP="0002347B">
      <w:pPr>
        <w:spacing w:after="160" w:line="259" w:lineRule="auto"/>
        <w:rPr>
          <w:rFonts w:ascii="Times New Roman" w:eastAsiaTheme="minorHAnsi" w:hAnsi="Times New Roman"/>
          <w:color w:val="0563C1" w:themeColor="hyperlink"/>
          <w:szCs w:val="22"/>
          <w:u w:val="single"/>
        </w:rPr>
      </w:pPr>
      <w:r w:rsidRPr="0053015E">
        <w:rPr>
          <w:rFonts w:ascii="Times New Roman" w:eastAsiaTheme="minorHAnsi" w:hAnsi="Times New Roman"/>
          <w:szCs w:val="22"/>
        </w:rPr>
        <w:t xml:space="preserve">CY2022: </w:t>
      </w:r>
      <w:hyperlink r:id="rId46" w:history="1">
        <w:r w:rsidRPr="0053015E">
          <w:rPr>
            <w:rFonts w:ascii="Times New Roman" w:eastAsiaTheme="minorHAnsi" w:hAnsi="Times New Roman"/>
            <w:color w:val="0563C1" w:themeColor="hyperlink"/>
            <w:szCs w:val="22"/>
            <w:u w:val="single"/>
          </w:rPr>
          <w:t>https://www.govinfo.gov/content/pkg/FR-2021-11-09/pdf/2021-23993.pdf</w:t>
        </w:r>
      </w:hyperlink>
    </w:p>
    <w:p w14:paraId="13BCED72" w14:textId="2EC58BED" w:rsidR="00DE234A" w:rsidRPr="0053015E" w:rsidRDefault="00DE234A" w:rsidP="0002347B">
      <w:pPr>
        <w:spacing w:after="160" w:line="259" w:lineRule="auto"/>
        <w:rPr>
          <w:rFonts w:ascii="Times New Roman" w:eastAsiaTheme="minorHAnsi" w:hAnsi="Times New Roman"/>
          <w:color w:val="0563C1" w:themeColor="hyperlink"/>
          <w:szCs w:val="22"/>
          <w:u w:val="single"/>
        </w:rPr>
      </w:pPr>
      <w:r w:rsidRPr="0053015E">
        <w:rPr>
          <w:rFonts w:ascii="Times New Roman" w:eastAsiaTheme="minorHAnsi" w:hAnsi="Times New Roman"/>
          <w:color w:val="0563C1" w:themeColor="hyperlink"/>
          <w:szCs w:val="22"/>
          <w:u w:val="single"/>
        </w:rPr>
        <w:t>CY2023:</w:t>
      </w:r>
      <w:r w:rsidR="002928B8" w:rsidRPr="0053015E">
        <w:rPr>
          <w:rFonts w:ascii="Times New Roman" w:eastAsiaTheme="minorHAnsi" w:hAnsi="Times New Roman"/>
          <w:color w:val="0563C1" w:themeColor="hyperlink"/>
          <w:szCs w:val="22"/>
          <w:u w:val="single"/>
        </w:rPr>
        <w:t xml:space="preserve"> https://www.govinfo.gov/content/pkg/FR-2022-11-04/pdf/2022-23722.pdf</w:t>
      </w:r>
    </w:p>
    <w:p w14:paraId="263BDCD2" w14:textId="6D246FC6" w:rsidR="00DE234A" w:rsidRDefault="00DE234A" w:rsidP="0002347B">
      <w:pPr>
        <w:spacing w:after="160" w:line="259" w:lineRule="auto"/>
        <w:rPr>
          <w:rStyle w:val="Hyperlink"/>
          <w:rFonts w:ascii="Times New Roman" w:eastAsiaTheme="minorHAnsi" w:hAnsi="Times New Roman"/>
          <w:szCs w:val="22"/>
        </w:rPr>
      </w:pPr>
      <w:r w:rsidRPr="0053015E">
        <w:rPr>
          <w:rFonts w:ascii="Times New Roman" w:eastAsiaTheme="minorHAnsi" w:hAnsi="Times New Roman"/>
          <w:color w:val="0563C1" w:themeColor="hyperlink"/>
          <w:szCs w:val="22"/>
          <w:u w:val="single"/>
        </w:rPr>
        <w:t>CY2024:</w:t>
      </w:r>
      <w:r w:rsidR="007559DD" w:rsidRPr="0053015E">
        <w:rPr>
          <w:rFonts w:ascii="Times New Roman" w:eastAsiaTheme="minorHAnsi" w:hAnsi="Times New Roman"/>
          <w:color w:val="0563C1" w:themeColor="hyperlink"/>
          <w:szCs w:val="22"/>
          <w:u w:val="single"/>
        </w:rPr>
        <w:t xml:space="preserve"> </w:t>
      </w:r>
      <w:hyperlink r:id="rId47" w:history="1">
        <w:r w:rsidR="0053015E" w:rsidRPr="00D8015B">
          <w:rPr>
            <w:rStyle w:val="Hyperlink"/>
            <w:rFonts w:ascii="Times New Roman" w:eastAsiaTheme="minorHAnsi" w:hAnsi="Times New Roman"/>
            <w:szCs w:val="22"/>
          </w:rPr>
          <w:t>https://www.govinfo.gov/content/pkg/FR-2023-07-10/pdf/2023-14044.pdf</w:t>
        </w:r>
      </w:hyperlink>
    </w:p>
    <w:p w14:paraId="463AA8DB" w14:textId="5C2AB7C0" w:rsidR="00497D7D" w:rsidRDefault="00497D7D" w:rsidP="0002347B">
      <w:pPr>
        <w:spacing w:after="160" w:line="259" w:lineRule="auto"/>
        <w:rPr>
          <w:rFonts w:ascii="Times New Roman" w:eastAsiaTheme="minorHAnsi" w:hAnsi="Times New Roman"/>
          <w:color w:val="0563C1" w:themeColor="hyperlink"/>
          <w:szCs w:val="22"/>
          <w:u w:val="single"/>
        </w:rPr>
      </w:pPr>
      <w:r>
        <w:rPr>
          <w:rStyle w:val="Hyperlink"/>
          <w:rFonts w:ascii="Times New Roman" w:eastAsiaTheme="minorHAnsi" w:hAnsi="Times New Roman"/>
          <w:szCs w:val="22"/>
        </w:rPr>
        <w:t xml:space="preserve">CY2025:  </w:t>
      </w:r>
      <w:r w:rsidRPr="00497D7D">
        <w:rPr>
          <w:rStyle w:val="Hyperlink"/>
          <w:rFonts w:ascii="Times New Roman" w:eastAsiaTheme="minorHAnsi" w:hAnsi="Times New Roman"/>
          <w:szCs w:val="22"/>
        </w:rPr>
        <w:t>https://www.govinfo.gov/content/pkg/FR-2024-07-03/pdf/2024-14254.pdf</w:t>
      </w:r>
    </w:p>
    <w:p w14:paraId="7FEAC96A" w14:textId="77777777" w:rsidR="0053015E" w:rsidRDefault="0053015E" w:rsidP="0002347B">
      <w:pPr>
        <w:spacing w:after="160" w:line="259" w:lineRule="auto"/>
        <w:rPr>
          <w:rFonts w:ascii="Times New Roman" w:eastAsiaTheme="minorHAnsi" w:hAnsi="Times New Roman"/>
          <w:color w:val="0563C1" w:themeColor="hyperlink"/>
          <w:szCs w:val="22"/>
          <w:u w:val="single"/>
        </w:rPr>
      </w:pPr>
    </w:p>
    <w:p w14:paraId="0EE45DB7" w14:textId="77777777" w:rsidR="00251C41" w:rsidRPr="003D1E2E" w:rsidRDefault="00251C41" w:rsidP="000A21A4">
      <w:pPr>
        <w:rPr>
          <w:rFonts w:ascii="Times New Roman" w:hAnsi="Times New Roman"/>
          <w:b/>
          <w:bCs/>
        </w:rPr>
      </w:pPr>
    </w:p>
    <w:p w14:paraId="4BA1BC4D" w14:textId="77777777" w:rsidR="00136C7D" w:rsidRDefault="00136C7D" w:rsidP="000A21A4">
      <w:pPr>
        <w:rPr>
          <w:rFonts w:ascii="Times New Roman" w:hAnsi="Times New Roman"/>
          <w:b/>
          <w:bCs/>
        </w:rPr>
      </w:pPr>
    </w:p>
    <w:p w14:paraId="22540FC7" w14:textId="77777777" w:rsidR="00136C7D" w:rsidRDefault="00136C7D" w:rsidP="000A21A4">
      <w:pPr>
        <w:rPr>
          <w:rFonts w:ascii="Times New Roman" w:hAnsi="Times New Roman"/>
          <w:b/>
          <w:bCs/>
        </w:rPr>
      </w:pPr>
    </w:p>
    <w:p w14:paraId="4FB10915" w14:textId="77777777" w:rsidR="00942F3B" w:rsidRDefault="00942F3B" w:rsidP="000A21A4">
      <w:pPr>
        <w:rPr>
          <w:rFonts w:ascii="Times New Roman" w:hAnsi="Times New Roman"/>
          <w:b/>
          <w:bCs/>
        </w:rPr>
      </w:pPr>
    </w:p>
    <w:p w14:paraId="4F366131" w14:textId="77777777" w:rsidR="00942F3B" w:rsidRDefault="00942F3B" w:rsidP="000A21A4">
      <w:pPr>
        <w:rPr>
          <w:rFonts w:ascii="Times New Roman" w:hAnsi="Times New Roman"/>
          <w:b/>
          <w:bCs/>
        </w:rPr>
      </w:pPr>
    </w:p>
    <w:p w14:paraId="7D92CD8E" w14:textId="2910043B" w:rsidR="00136C7D" w:rsidRDefault="00136C7D" w:rsidP="000A21A4">
      <w:pPr>
        <w:rPr>
          <w:rFonts w:ascii="Times New Roman" w:hAnsi="Times New Roman"/>
          <w:b/>
          <w:bCs/>
        </w:rPr>
      </w:pPr>
      <w:r>
        <w:rPr>
          <w:rFonts w:ascii="Times New Roman" w:hAnsi="Times New Roman"/>
          <w:b/>
          <w:bCs/>
        </w:rPr>
        <w:t>Current Care Access Problems Are Expected to Significantly Increase with the Proposed Ra</w:t>
      </w:r>
      <w:r w:rsidR="00942F3B">
        <w:rPr>
          <w:rFonts w:ascii="Times New Roman" w:hAnsi="Times New Roman"/>
          <w:b/>
          <w:bCs/>
        </w:rPr>
        <w:t>t</w:t>
      </w:r>
      <w:r>
        <w:rPr>
          <w:rFonts w:ascii="Times New Roman" w:hAnsi="Times New Roman"/>
          <w:b/>
          <w:bCs/>
        </w:rPr>
        <w:t>e Cut</w:t>
      </w:r>
    </w:p>
    <w:p w14:paraId="28285DD0" w14:textId="77777777" w:rsidR="00136C7D" w:rsidRDefault="00136C7D" w:rsidP="000A21A4">
      <w:pPr>
        <w:rPr>
          <w:rFonts w:ascii="Times New Roman" w:hAnsi="Times New Roman"/>
          <w:b/>
          <w:bCs/>
        </w:rPr>
      </w:pPr>
    </w:p>
    <w:p w14:paraId="39B0BCE9" w14:textId="77777777" w:rsidR="00136C7D" w:rsidRDefault="00136C7D" w:rsidP="000A21A4">
      <w:pPr>
        <w:rPr>
          <w:rFonts w:ascii="Times New Roman" w:hAnsi="Times New Roman"/>
          <w:b/>
          <w:bCs/>
        </w:rPr>
      </w:pPr>
    </w:p>
    <w:p w14:paraId="386A4821" w14:textId="15EC01ED" w:rsidR="006B3A22" w:rsidRDefault="00AC011B" w:rsidP="00AB1332">
      <w:pPr>
        <w:ind w:firstLine="720"/>
        <w:rPr>
          <w:rFonts w:ascii="Times New Roman" w:hAnsi="Times New Roman"/>
        </w:rPr>
      </w:pPr>
      <w:r>
        <w:rPr>
          <w:rFonts w:ascii="Times New Roman" w:hAnsi="Times New Roman"/>
        </w:rPr>
        <w:t>In the CY 2024 rulemaking</w:t>
      </w:r>
      <w:r w:rsidR="00AA04D3">
        <w:rPr>
          <w:rFonts w:ascii="Times New Roman" w:hAnsi="Times New Roman"/>
        </w:rPr>
        <w:t>, the Al</w:t>
      </w:r>
      <w:r w:rsidR="001927E9">
        <w:rPr>
          <w:rFonts w:ascii="Times New Roman" w:hAnsi="Times New Roman"/>
        </w:rPr>
        <w:t>l</w:t>
      </w:r>
      <w:r w:rsidR="00AA04D3">
        <w:rPr>
          <w:rFonts w:ascii="Times New Roman" w:hAnsi="Times New Roman"/>
        </w:rPr>
        <w:t>iance and others presented stunning evidence about the growing barriers to care access faced by Medicare beneficiaries since the onset of PDGM</w:t>
      </w:r>
      <w:r w:rsidR="001927E9">
        <w:rPr>
          <w:rFonts w:ascii="Times New Roman" w:hAnsi="Times New Roman"/>
        </w:rPr>
        <w:t>.  This evidence was dismissed by CMS in</w:t>
      </w:r>
      <w:r w:rsidR="005729ED">
        <w:rPr>
          <w:rFonts w:ascii="Times New Roman" w:hAnsi="Times New Roman"/>
        </w:rPr>
        <w:t xml:space="preserve"> i</w:t>
      </w:r>
      <w:r w:rsidR="001927E9">
        <w:rPr>
          <w:rFonts w:ascii="Times New Roman" w:hAnsi="Times New Roman"/>
        </w:rPr>
        <w:t xml:space="preserve">ts rulemaking responses for a variety of reasons including that </w:t>
      </w:r>
      <w:r w:rsidR="00806FBC">
        <w:rPr>
          <w:rFonts w:ascii="Times New Roman" w:hAnsi="Times New Roman"/>
        </w:rPr>
        <w:t xml:space="preserve">causation was not established, the data analysis may have </w:t>
      </w:r>
      <w:r w:rsidR="007B120A">
        <w:rPr>
          <w:rFonts w:ascii="Times New Roman" w:hAnsi="Times New Roman"/>
        </w:rPr>
        <w:t>relied on</w:t>
      </w:r>
      <w:r w:rsidR="005729ED">
        <w:rPr>
          <w:rFonts w:ascii="Times New Roman" w:hAnsi="Times New Roman"/>
        </w:rPr>
        <w:t xml:space="preserve"> duplication of patients, and that the rejection of a patient by one HHA did not automatically translate to rejection by all </w:t>
      </w:r>
      <w:r w:rsidR="006B3A22">
        <w:rPr>
          <w:rFonts w:ascii="Times New Roman" w:hAnsi="Times New Roman"/>
        </w:rPr>
        <w:t xml:space="preserve">HHAs. </w:t>
      </w:r>
    </w:p>
    <w:p w14:paraId="0D8B52C5" w14:textId="77777777" w:rsidR="006B3A22" w:rsidRDefault="006B3A22" w:rsidP="00AB1332">
      <w:pPr>
        <w:ind w:firstLine="720"/>
        <w:rPr>
          <w:rFonts w:ascii="Times New Roman" w:hAnsi="Times New Roman"/>
        </w:rPr>
      </w:pPr>
    </w:p>
    <w:p w14:paraId="3E3B7A0F" w14:textId="15407D83" w:rsidR="005069E8" w:rsidRDefault="006B3A22" w:rsidP="001D45C8">
      <w:pPr>
        <w:ind w:firstLine="720"/>
        <w:rPr>
          <w:rFonts w:ascii="Times New Roman" w:hAnsi="Times New Roman"/>
        </w:rPr>
      </w:pPr>
      <w:r>
        <w:rPr>
          <w:rFonts w:ascii="Times New Roman" w:hAnsi="Times New Roman"/>
        </w:rPr>
        <w:t>Such a position</w:t>
      </w:r>
      <w:r w:rsidR="00B978F5">
        <w:rPr>
          <w:rFonts w:ascii="Times New Roman" w:hAnsi="Times New Roman"/>
        </w:rPr>
        <w:t xml:space="preserve"> begs for something more than a dismissal of concerns. Instead, CMS, with its </w:t>
      </w:r>
      <w:r w:rsidR="00B87979">
        <w:rPr>
          <w:rFonts w:ascii="Times New Roman" w:hAnsi="Times New Roman"/>
        </w:rPr>
        <w:t xml:space="preserve">ability to evaluate global data on home health care access, must </w:t>
      </w:r>
      <w:r w:rsidR="007B120A">
        <w:rPr>
          <w:rFonts w:ascii="Times New Roman" w:hAnsi="Times New Roman"/>
        </w:rPr>
        <w:t>take</w:t>
      </w:r>
      <w:r w:rsidR="00B87979">
        <w:rPr>
          <w:rFonts w:ascii="Times New Roman" w:hAnsi="Times New Roman"/>
        </w:rPr>
        <w:t xml:space="preserve"> steps to answer the questions posed through the analyses presented by HHAs and their representatives. </w:t>
      </w:r>
      <w:r w:rsidR="001D45C8">
        <w:rPr>
          <w:rFonts w:ascii="Times New Roman" w:hAnsi="Times New Roman"/>
        </w:rPr>
        <w:t xml:space="preserve">CMS is best </w:t>
      </w:r>
      <w:r w:rsidR="00640ED8">
        <w:rPr>
          <w:rFonts w:ascii="Times New Roman" w:hAnsi="Times New Roman"/>
        </w:rPr>
        <w:t>positioned</w:t>
      </w:r>
      <w:r w:rsidR="001D45C8">
        <w:rPr>
          <w:rFonts w:ascii="Times New Roman" w:hAnsi="Times New Roman"/>
        </w:rPr>
        <w:t xml:space="preserve"> to </w:t>
      </w:r>
      <w:r w:rsidR="00640ED8">
        <w:rPr>
          <w:rFonts w:ascii="Times New Roman" w:hAnsi="Times New Roman"/>
        </w:rPr>
        <w:t>undertake</w:t>
      </w:r>
      <w:r w:rsidR="001D45C8">
        <w:rPr>
          <w:rFonts w:ascii="Times New Roman" w:hAnsi="Times New Roman"/>
        </w:rPr>
        <w:t xml:space="preserve"> that analysis</w:t>
      </w:r>
      <w:r w:rsidR="00640ED8">
        <w:rPr>
          <w:rFonts w:ascii="Times New Roman" w:hAnsi="Times New Roman"/>
        </w:rPr>
        <w:t xml:space="preserve">. Something more from CMS </w:t>
      </w:r>
      <w:r w:rsidR="004E4243">
        <w:rPr>
          <w:rFonts w:ascii="Times New Roman" w:hAnsi="Times New Roman"/>
        </w:rPr>
        <w:t>than a</w:t>
      </w:r>
      <w:r w:rsidR="007B120A">
        <w:rPr>
          <w:rFonts w:ascii="Times New Roman" w:hAnsi="Times New Roman"/>
        </w:rPr>
        <w:t xml:space="preserve"> casual dismissal of relevant data analysis</w:t>
      </w:r>
      <w:r w:rsidR="00557D33">
        <w:rPr>
          <w:rFonts w:ascii="Times New Roman" w:hAnsi="Times New Roman"/>
        </w:rPr>
        <w:t xml:space="preserve"> is a CMS responsibility. </w:t>
      </w:r>
    </w:p>
    <w:p w14:paraId="26A99067" w14:textId="77777777" w:rsidR="00557D33" w:rsidRDefault="00557D33" w:rsidP="001D45C8">
      <w:pPr>
        <w:ind w:firstLine="720"/>
        <w:rPr>
          <w:rFonts w:ascii="Times New Roman" w:hAnsi="Times New Roman"/>
        </w:rPr>
      </w:pPr>
    </w:p>
    <w:p w14:paraId="1C64072D" w14:textId="23618F93" w:rsidR="00557D33" w:rsidRDefault="00557D33" w:rsidP="001D45C8">
      <w:pPr>
        <w:ind w:firstLine="720"/>
        <w:rPr>
          <w:rFonts w:ascii="Times New Roman" w:hAnsi="Times New Roman"/>
        </w:rPr>
      </w:pPr>
      <w:r>
        <w:rPr>
          <w:rFonts w:ascii="Times New Roman" w:hAnsi="Times New Roman"/>
        </w:rPr>
        <w:t>One of the CY 2024 rulemaking commenters, Home</w:t>
      </w:r>
      <w:r w:rsidR="004E4243">
        <w:rPr>
          <w:rFonts w:ascii="Times New Roman" w:hAnsi="Times New Roman"/>
        </w:rPr>
        <w:t>c</w:t>
      </w:r>
      <w:r>
        <w:rPr>
          <w:rFonts w:ascii="Times New Roman" w:hAnsi="Times New Roman"/>
        </w:rPr>
        <w:t>are Home</w:t>
      </w:r>
      <w:r w:rsidR="004E4243">
        <w:rPr>
          <w:rFonts w:ascii="Times New Roman" w:hAnsi="Times New Roman"/>
        </w:rPr>
        <w:t>b</w:t>
      </w:r>
      <w:r>
        <w:rPr>
          <w:rFonts w:ascii="Times New Roman" w:hAnsi="Times New Roman"/>
        </w:rPr>
        <w:t>ase</w:t>
      </w:r>
      <w:r w:rsidR="004E4243">
        <w:rPr>
          <w:rFonts w:ascii="Times New Roman" w:hAnsi="Times New Roman"/>
        </w:rPr>
        <w:t>,</w:t>
      </w:r>
      <w:r w:rsidR="00854547">
        <w:rPr>
          <w:rFonts w:ascii="Times New Roman" w:hAnsi="Times New Roman"/>
        </w:rPr>
        <w:t xml:space="preserve"> took added steps for its CY2025 rulemaking comments on the extraordin</w:t>
      </w:r>
      <w:r w:rsidR="00527AFD">
        <w:rPr>
          <w:rFonts w:ascii="Times New Roman" w:hAnsi="Times New Roman"/>
        </w:rPr>
        <w:t xml:space="preserve">arily relevant question as to what becomes </w:t>
      </w:r>
      <w:r w:rsidR="004E4243">
        <w:rPr>
          <w:rFonts w:ascii="Times New Roman" w:hAnsi="Times New Roman"/>
        </w:rPr>
        <w:t>of</w:t>
      </w:r>
      <w:r w:rsidR="00527AFD">
        <w:rPr>
          <w:rFonts w:ascii="Times New Roman" w:hAnsi="Times New Roman"/>
        </w:rPr>
        <w:t xml:space="preserve"> patients that are rejected for admission by an HHA. In</w:t>
      </w:r>
      <w:r w:rsidR="00AE3B40">
        <w:rPr>
          <w:rFonts w:ascii="Times New Roman" w:hAnsi="Times New Roman"/>
        </w:rPr>
        <w:t xml:space="preserve"> using its vast database of Medicare claims and other data, the recent comments submitted by Ho</w:t>
      </w:r>
      <w:r w:rsidR="00276D90">
        <w:rPr>
          <w:rFonts w:ascii="Times New Roman" w:hAnsi="Times New Roman"/>
        </w:rPr>
        <w:t>m</w:t>
      </w:r>
      <w:r w:rsidR="00AE3B40">
        <w:rPr>
          <w:rFonts w:ascii="Times New Roman" w:hAnsi="Times New Roman"/>
        </w:rPr>
        <w:t>ecare Homebase</w:t>
      </w:r>
      <w:r w:rsidR="00276D90">
        <w:rPr>
          <w:rFonts w:ascii="Times New Roman" w:hAnsi="Times New Roman"/>
        </w:rPr>
        <w:t xml:space="preserve"> confirm the concerns that have been previously voiced. Its data analysis shows that 35% of referral</w:t>
      </w:r>
      <w:r w:rsidR="00ED6ED2">
        <w:rPr>
          <w:rFonts w:ascii="Times New Roman" w:hAnsi="Times New Roman"/>
        </w:rPr>
        <w:t>s</w:t>
      </w:r>
      <w:r w:rsidR="00276D90">
        <w:rPr>
          <w:rFonts w:ascii="Times New Roman" w:hAnsi="Times New Roman"/>
        </w:rPr>
        <w:t xml:space="preserve"> to its </w:t>
      </w:r>
      <w:r w:rsidR="00CF3A4F">
        <w:rPr>
          <w:rFonts w:ascii="Times New Roman" w:hAnsi="Times New Roman"/>
        </w:rPr>
        <w:t>client</w:t>
      </w:r>
      <w:r w:rsidR="00904A03">
        <w:rPr>
          <w:rFonts w:ascii="Times New Roman" w:hAnsi="Times New Roman"/>
        </w:rPr>
        <w:t>s</w:t>
      </w:r>
      <w:r w:rsidR="00CF3A4F">
        <w:rPr>
          <w:rFonts w:ascii="Times New Roman" w:hAnsi="Times New Roman"/>
        </w:rPr>
        <w:t xml:space="preserve"> are rejected and do not find access with any other of its clients. Given the significant market share for Homecare Homebase, at a minimum this </w:t>
      </w:r>
      <w:r w:rsidR="00ED6ED2">
        <w:rPr>
          <w:rFonts w:ascii="Times New Roman" w:hAnsi="Times New Roman"/>
        </w:rPr>
        <w:t xml:space="preserve">outcome warrants a deeper dive by CMS. </w:t>
      </w:r>
      <w:r w:rsidR="00904A03">
        <w:rPr>
          <w:rFonts w:ascii="Times New Roman" w:hAnsi="Times New Roman"/>
        </w:rPr>
        <w:t>Even if one-half of those referrals find</w:t>
      </w:r>
      <w:r w:rsidR="00AA3CBF">
        <w:rPr>
          <w:rFonts w:ascii="Times New Roman" w:hAnsi="Times New Roman"/>
        </w:rPr>
        <w:t xml:space="preserve"> </w:t>
      </w:r>
      <w:r w:rsidR="00904A03">
        <w:rPr>
          <w:rFonts w:ascii="Times New Roman" w:hAnsi="Times New Roman"/>
        </w:rPr>
        <w:t>an alterna</w:t>
      </w:r>
      <w:r w:rsidR="00AA3CBF">
        <w:rPr>
          <w:rFonts w:ascii="Times New Roman" w:hAnsi="Times New Roman"/>
        </w:rPr>
        <w:t>tive HHA, the impact o</w:t>
      </w:r>
      <w:r w:rsidR="004B581A">
        <w:rPr>
          <w:rFonts w:ascii="Times New Roman" w:hAnsi="Times New Roman"/>
        </w:rPr>
        <w:t>n patients and Medicare of the remaining half finding no care is unacceptable. When combined with the con</w:t>
      </w:r>
      <w:r w:rsidR="00F779C2">
        <w:rPr>
          <w:rFonts w:ascii="Times New Roman" w:hAnsi="Times New Roman"/>
        </w:rPr>
        <w:t xml:space="preserve">tinuing reduction in the number of home health users annually since PDGM, </w:t>
      </w:r>
      <w:r w:rsidR="000E1C5D">
        <w:rPr>
          <w:rFonts w:ascii="Times New Roman" w:hAnsi="Times New Roman"/>
        </w:rPr>
        <w:t xml:space="preserve">an investigation is the duty of CMS. </w:t>
      </w:r>
      <w:r w:rsidR="00AA3CBF">
        <w:rPr>
          <w:rFonts w:ascii="Times New Roman" w:hAnsi="Times New Roman"/>
        </w:rPr>
        <w:t xml:space="preserve">  </w:t>
      </w:r>
    </w:p>
    <w:p w14:paraId="53482E8E" w14:textId="77777777" w:rsidR="001D45C8" w:rsidRDefault="001D45C8" w:rsidP="001D45C8">
      <w:pPr>
        <w:ind w:firstLine="720"/>
        <w:rPr>
          <w:rFonts w:ascii="Times New Roman" w:hAnsi="Times New Roman"/>
        </w:rPr>
      </w:pPr>
    </w:p>
    <w:p w14:paraId="06E5FAF5" w14:textId="77777777" w:rsidR="001D45C8" w:rsidRDefault="001D45C8" w:rsidP="001D45C8">
      <w:pPr>
        <w:ind w:firstLine="720"/>
        <w:rPr>
          <w:rFonts w:ascii="Times New Roman" w:hAnsi="Times New Roman"/>
        </w:rPr>
      </w:pPr>
    </w:p>
    <w:p w14:paraId="0CCC8288" w14:textId="77777777" w:rsidR="001D45C8" w:rsidRDefault="001D45C8" w:rsidP="001D45C8">
      <w:pPr>
        <w:ind w:firstLine="720"/>
        <w:rPr>
          <w:rFonts w:ascii="Times New Roman" w:hAnsi="Times New Roman"/>
        </w:rPr>
      </w:pPr>
    </w:p>
    <w:p w14:paraId="3F37CAC0" w14:textId="0DFECE9A" w:rsidR="005069E8" w:rsidRDefault="005069E8" w:rsidP="00AB1332">
      <w:pPr>
        <w:ind w:firstLine="720"/>
        <w:rPr>
          <w:rFonts w:ascii="Times New Roman" w:hAnsi="Times New Roman"/>
        </w:rPr>
      </w:pPr>
      <w:r>
        <w:rPr>
          <w:rFonts w:ascii="Times New Roman" w:hAnsi="Times New Roman"/>
        </w:rPr>
        <w:t xml:space="preserve">Here are several </w:t>
      </w:r>
      <w:r w:rsidR="00BD57E1">
        <w:rPr>
          <w:rFonts w:ascii="Times New Roman" w:hAnsi="Times New Roman"/>
        </w:rPr>
        <w:t xml:space="preserve">previously referenced </w:t>
      </w:r>
      <w:r>
        <w:rPr>
          <w:rFonts w:ascii="Times New Roman" w:hAnsi="Times New Roman"/>
        </w:rPr>
        <w:t>signs of the existing</w:t>
      </w:r>
      <w:r w:rsidR="0077655E">
        <w:rPr>
          <w:rFonts w:ascii="Times New Roman" w:hAnsi="Times New Roman"/>
        </w:rPr>
        <w:t xml:space="preserve"> difficulties in</w:t>
      </w:r>
      <w:r>
        <w:rPr>
          <w:rFonts w:ascii="Times New Roman" w:hAnsi="Times New Roman"/>
        </w:rPr>
        <w:t xml:space="preserve"> care access:</w:t>
      </w:r>
    </w:p>
    <w:p w14:paraId="5DDB551A" w14:textId="77777777" w:rsidR="005069E8" w:rsidRDefault="005069E8" w:rsidP="000A21A4">
      <w:pPr>
        <w:rPr>
          <w:rFonts w:ascii="Times New Roman" w:hAnsi="Times New Roman"/>
        </w:rPr>
      </w:pPr>
    </w:p>
    <w:p w14:paraId="0740027F" w14:textId="77777777" w:rsidR="00DB13F2" w:rsidRDefault="00494A81" w:rsidP="00DB13F2">
      <w:pPr>
        <w:ind w:firstLine="720"/>
        <w:rPr>
          <w:rStyle w:val="Hyperlink"/>
          <w:rFonts w:ascii="Times New Roman" w:hAnsi="Times New Roman"/>
        </w:rPr>
      </w:pPr>
      <w:r>
        <w:rPr>
          <w:rFonts w:ascii="Times New Roman" w:hAnsi="Times New Roman"/>
        </w:rPr>
        <w:t>Hospital discharge data shows that hospitals are facing a growing level of patient referral rejections</w:t>
      </w:r>
      <w:r w:rsidR="006F76DA">
        <w:rPr>
          <w:rFonts w:ascii="Times New Roman" w:hAnsi="Times New Roman"/>
        </w:rPr>
        <w:t xml:space="preserve"> for prospective home health patient</w:t>
      </w:r>
      <w:r w:rsidR="0003003F">
        <w:rPr>
          <w:rFonts w:ascii="Times New Roman" w:hAnsi="Times New Roman"/>
        </w:rPr>
        <w:t>s</w:t>
      </w:r>
      <w:r w:rsidR="00113C54">
        <w:rPr>
          <w:rFonts w:ascii="Times New Roman" w:hAnsi="Times New Roman"/>
        </w:rPr>
        <w:t>.</w:t>
      </w:r>
      <w:r w:rsidR="006F76DA">
        <w:rPr>
          <w:rFonts w:ascii="Times New Roman" w:hAnsi="Times New Roman"/>
        </w:rPr>
        <w:t xml:space="preserve"> This has led to </w:t>
      </w:r>
      <w:r w:rsidR="0003003F">
        <w:rPr>
          <w:rFonts w:ascii="Times New Roman" w:hAnsi="Times New Roman"/>
        </w:rPr>
        <w:t xml:space="preserve">delays in discharging patients </w:t>
      </w:r>
      <w:r w:rsidR="006E3FCA">
        <w:rPr>
          <w:rFonts w:ascii="Times New Roman" w:hAnsi="Times New Roman"/>
        </w:rPr>
        <w:t>t</w:t>
      </w:r>
      <w:r w:rsidR="0003003F">
        <w:rPr>
          <w:rFonts w:ascii="Times New Roman" w:hAnsi="Times New Roman"/>
        </w:rPr>
        <w:t xml:space="preserve">o </w:t>
      </w:r>
      <w:r w:rsidR="006E3FCA">
        <w:rPr>
          <w:rFonts w:ascii="Times New Roman" w:hAnsi="Times New Roman"/>
        </w:rPr>
        <w:t>t</w:t>
      </w:r>
      <w:r w:rsidR="00D5170D">
        <w:rPr>
          <w:rFonts w:ascii="Times New Roman" w:hAnsi="Times New Roman"/>
        </w:rPr>
        <w:t xml:space="preserve">heir </w:t>
      </w:r>
      <w:r w:rsidR="0003003F">
        <w:rPr>
          <w:rFonts w:ascii="Times New Roman" w:hAnsi="Times New Roman"/>
        </w:rPr>
        <w:t>homes,</w:t>
      </w:r>
      <w:r w:rsidR="00113C54">
        <w:rPr>
          <w:rFonts w:ascii="Times New Roman" w:hAnsi="Times New Roman"/>
        </w:rPr>
        <w:t xml:space="preserve"> and</w:t>
      </w:r>
      <w:r w:rsidR="0003003F">
        <w:rPr>
          <w:rFonts w:ascii="Times New Roman" w:hAnsi="Times New Roman"/>
        </w:rPr>
        <w:t xml:space="preserve"> extending costly </w:t>
      </w:r>
      <w:r w:rsidR="006E3FCA">
        <w:rPr>
          <w:rFonts w:ascii="Times New Roman" w:hAnsi="Times New Roman"/>
        </w:rPr>
        <w:t>inpatient</w:t>
      </w:r>
      <w:r w:rsidR="0003003F">
        <w:rPr>
          <w:rFonts w:ascii="Times New Roman" w:hAnsi="Times New Roman"/>
        </w:rPr>
        <w:t xml:space="preserve"> stays</w:t>
      </w:r>
      <w:r w:rsidR="00B009C5">
        <w:rPr>
          <w:rFonts w:ascii="Times New Roman" w:hAnsi="Times New Roman"/>
        </w:rPr>
        <w:t xml:space="preserve"> as reported by the American Hospital Association. </w:t>
      </w:r>
      <w:hyperlink r:id="rId48" w:history="1">
        <w:r w:rsidR="00DB13F2" w:rsidRPr="00D8015B">
          <w:rPr>
            <w:rStyle w:val="Hyperlink"/>
            <w:rFonts w:ascii="Times New Roman" w:hAnsi="Times New Roman"/>
          </w:rPr>
          <w:t>file:///C:/Users/wad/AppData/Local/Microsoft/Windows/INetCache/Content.Outlook/L69H8U3R/Issue-Brief-Patients-and-Providers-Faced-with-Increasing-Delays-in-Timely-Discharges.pdf</w:t>
        </w:r>
      </w:hyperlink>
    </w:p>
    <w:p w14:paraId="0BD9C77A" w14:textId="6A754E62" w:rsidR="00D5170D" w:rsidRDefault="00DB13F2" w:rsidP="003F178F">
      <w:pPr>
        <w:ind w:firstLine="720"/>
        <w:rPr>
          <w:rStyle w:val="Hyperlink"/>
          <w:rFonts w:ascii="Times New Roman" w:hAnsi="Times New Roman"/>
        </w:rPr>
      </w:pPr>
      <w:r>
        <w:rPr>
          <w:rFonts w:ascii="Times New Roman" w:hAnsi="Times New Roman"/>
        </w:rPr>
        <w:t xml:space="preserve"> </w:t>
      </w:r>
      <w:r w:rsidR="003F178F">
        <w:rPr>
          <w:rFonts w:ascii="Times New Roman" w:hAnsi="Times New Roman"/>
        </w:rPr>
        <w:t>The delays in hospitals discharging patie</w:t>
      </w:r>
      <w:r w:rsidR="00DC6C74">
        <w:rPr>
          <w:rFonts w:ascii="Times New Roman" w:hAnsi="Times New Roman"/>
        </w:rPr>
        <w:t>n</w:t>
      </w:r>
      <w:r w:rsidR="003F178F">
        <w:rPr>
          <w:rFonts w:ascii="Times New Roman" w:hAnsi="Times New Roman"/>
        </w:rPr>
        <w:t>ts to home</w:t>
      </w:r>
      <w:r w:rsidR="00DC6C74">
        <w:rPr>
          <w:rFonts w:ascii="Times New Roman" w:hAnsi="Times New Roman"/>
        </w:rPr>
        <w:t xml:space="preserve"> health services is certain to create a significant cost to the hospitals, but also to Medicare</w:t>
      </w:r>
      <w:r w:rsidR="00CE6883">
        <w:rPr>
          <w:rFonts w:ascii="Times New Roman" w:hAnsi="Times New Roman"/>
        </w:rPr>
        <w:t xml:space="preserve">. </w:t>
      </w:r>
    </w:p>
    <w:p w14:paraId="4124B779" w14:textId="77777777" w:rsidR="003F178F" w:rsidRDefault="003F178F" w:rsidP="003F178F">
      <w:pPr>
        <w:ind w:firstLine="720"/>
        <w:rPr>
          <w:rStyle w:val="Hyperlink"/>
          <w:rFonts w:ascii="Times New Roman" w:hAnsi="Times New Roman"/>
        </w:rPr>
      </w:pPr>
    </w:p>
    <w:p w14:paraId="5A2FAFAD" w14:textId="5340885E" w:rsidR="003F178F" w:rsidRDefault="003F178F" w:rsidP="003F178F">
      <w:pPr>
        <w:ind w:firstLine="720"/>
        <w:rPr>
          <w:rFonts w:ascii="Times New Roman" w:hAnsi="Times New Roman"/>
        </w:rPr>
      </w:pPr>
    </w:p>
    <w:p w14:paraId="1C719EFA" w14:textId="77777777" w:rsidR="00D5170D" w:rsidRDefault="00D5170D" w:rsidP="000A21A4">
      <w:pPr>
        <w:rPr>
          <w:rFonts w:ascii="Times New Roman" w:hAnsi="Times New Roman"/>
        </w:rPr>
      </w:pPr>
    </w:p>
    <w:p w14:paraId="2FEE4DFA" w14:textId="226EB609" w:rsidR="005069E8" w:rsidRDefault="005069E8" w:rsidP="000A21A4">
      <w:pPr>
        <w:rPr>
          <w:rFonts w:ascii="Times New Roman" w:hAnsi="Times New Roman"/>
        </w:rPr>
      </w:pPr>
      <w:r>
        <w:rPr>
          <w:noProof/>
          <w14:ligatures w14:val="standardContextual"/>
        </w:rPr>
        <w:lastRenderedPageBreak/>
        <w:drawing>
          <wp:inline distT="0" distB="0" distL="0" distR="0" wp14:anchorId="0C4A40ED" wp14:editId="3BF4C201">
            <wp:extent cx="5943600" cy="3171190"/>
            <wp:effectExtent l="0" t="0" r="0" b="0"/>
            <wp:docPr id="6" name="Picture 5" descr="A graph of a graph with a line&#10;&#10;Description automatically generated with medium confidence">
              <a:extLst xmlns:a="http://schemas.openxmlformats.org/drawingml/2006/main">
                <a:ext uri="{FF2B5EF4-FFF2-40B4-BE49-F238E27FC236}">
                  <a16:creationId xmlns:a16="http://schemas.microsoft.com/office/drawing/2014/main" id="{D42EFC73-103A-4C9B-8B53-6F5150288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graph with a line&#10;&#10;Description automatically generated with medium confidence">
                      <a:extLst>
                        <a:ext uri="{FF2B5EF4-FFF2-40B4-BE49-F238E27FC236}">
                          <a16:creationId xmlns:a16="http://schemas.microsoft.com/office/drawing/2014/main" id="{D42EFC73-103A-4C9B-8B53-6F5150288E21}"/>
                        </a:ext>
                      </a:extLst>
                    </pic:cNvPr>
                    <pic:cNvPicPr>
                      <a:picLocks noChangeAspect="1"/>
                    </pic:cNvPicPr>
                  </pic:nvPicPr>
                  <pic:blipFill>
                    <a:blip r:embed="rId49"/>
                    <a:stretch>
                      <a:fillRect/>
                    </a:stretch>
                  </pic:blipFill>
                  <pic:spPr>
                    <a:xfrm>
                      <a:off x="0" y="0"/>
                      <a:ext cx="5943600" cy="3171190"/>
                    </a:xfrm>
                    <a:prstGeom prst="rect">
                      <a:avLst/>
                    </a:prstGeom>
                  </pic:spPr>
                </pic:pic>
              </a:graphicData>
            </a:graphic>
          </wp:inline>
        </w:drawing>
      </w:r>
    </w:p>
    <w:p w14:paraId="3B59B83A" w14:textId="41CE0B12" w:rsidR="00E40A35" w:rsidRPr="002A6FBA" w:rsidRDefault="00635212" w:rsidP="00E40A35">
      <w:pPr>
        <w:pStyle w:val="NormalWeb"/>
        <w:spacing w:before="200" w:beforeAutospacing="0" w:after="40" w:afterAutospacing="0" w:line="225" w:lineRule="auto"/>
        <w:rPr>
          <w:sz w:val="22"/>
          <w:szCs w:val="22"/>
        </w:rPr>
      </w:pPr>
      <w:r>
        <w:rPr>
          <w:rFonts w:eastAsia="Calibri"/>
          <w:color w:val="44546A" w:themeColor="text2"/>
          <w:kern w:val="24"/>
          <w:sz w:val="22"/>
          <w:szCs w:val="22"/>
        </w:rPr>
        <w:t>S</w:t>
      </w:r>
      <w:r w:rsidR="00E40A35" w:rsidRPr="002A6FBA">
        <w:rPr>
          <w:rFonts w:eastAsia="Calibri"/>
          <w:color w:val="44546A" w:themeColor="text2"/>
          <w:kern w:val="24"/>
          <w:sz w:val="22"/>
          <w:szCs w:val="22"/>
        </w:rPr>
        <w:t xml:space="preserve">ource: July 25, </w:t>
      </w:r>
      <w:r w:rsidR="004A4482" w:rsidRPr="002A6FBA">
        <w:rPr>
          <w:rFonts w:eastAsia="Calibri"/>
          <w:color w:val="44546A" w:themeColor="text2"/>
          <w:kern w:val="24"/>
          <w:sz w:val="22"/>
          <w:szCs w:val="22"/>
        </w:rPr>
        <w:t>2023,</w:t>
      </w:r>
      <w:r w:rsidR="00E40A35" w:rsidRPr="002A6FBA">
        <w:rPr>
          <w:rFonts w:eastAsia="Calibri"/>
          <w:color w:val="44546A" w:themeColor="text2"/>
          <w:kern w:val="24"/>
          <w:sz w:val="22"/>
          <w:szCs w:val="22"/>
        </w:rPr>
        <w:t xml:space="preserve"> WellSky Evolution of Care report, available at: https://careporthealth.com/about/results/the-evolution-of-care-2023/</w:t>
      </w:r>
    </w:p>
    <w:p w14:paraId="776C123B" w14:textId="77777777" w:rsidR="00136C7D" w:rsidRDefault="00136C7D" w:rsidP="000A21A4">
      <w:pPr>
        <w:rPr>
          <w:rFonts w:ascii="Times New Roman" w:hAnsi="Times New Roman"/>
          <w:b/>
          <w:bCs/>
        </w:rPr>
      </w:pPr>
    </w:p>
    <w:p w14:paraId="7B3F6399" w14:textId="77777777" w:rsidR="00E40A35" w:rsidRDefault="00E40A35" w:rsidP="000A21A4">
      <w:pPr>
        <w:rPr>
          <w:rFonts w:ascii="Times New Roman" w:hAnsi="Times New Roman"/>
          <w:b/>
          <w:bCs/>
        </w:rPr>
      </w:pPr>
    </w:p>
    <w:p w14:paraId="5D2120FC" w14:textId="188B94F9" w:rsidR="009D4561" w:rsidRDefault="006F63C4" w:rsidP="000A21A4">
      <w:pPr>
        <w:rPr>
          <w:rFonts w:ascii="Times New Roman" w:hAnsi="Times New Roman"/>
        </w:rPr>
      </w:pPr>
      <w:r w:rsidRPr="006F63C4">
        <w:rPr>
          <w:rFonts w:ascii="Times New Roman" w:hAnsi="Times New Roman"/>
        </w:rPr>
        <w:t xml:space="preserve">Home Care Home Base, </w:t>
      </w:r>
      <w:r>
        <w:rPr>
          <w:rFonts w:ascii="Times New Roman" w:hAnsi="Times New Roman"/>
        </w:rPr>
        <w:t>a large provider of EMR and billing services to HHAs</w:t>
      </w:r>
      <w:r w:rsidR="00D859A9">
        <w:rPr>
          <w:rFonts w:ascii="Times New Roman" w:hAnsi="Times New Roman"/>
        </w:rPr>
        <w:t xml:space="preserve"> further reports decreasing patient acceptance rates under </w:t>
      </w:r>
      <w:r w:rsidR="009D4561">
        <w:rPr>
          <w:rFonts w:ascii="Times New Roman" w:hAnsi="Times New Roman"/>
        </w:rPr>
        <w:t>the current P</w:t>
      </w:r>
      <w:r w:rsidR="00D859A9">
        <w:rPr>
          <w:rFonts w:ascii="Times New Roman" w:hAnsi="Times New Roman"/>
        </w:rPr>
        <w:t>DGM</w:t>
      </w:r>
      <w:r w:rsidR="009D4561">
        <w:rPr>
          <w:rFonts w:ascii="Times New Roman" w:hAnsi="Times New Roman"/>
        </w:rPr>
        <w:t xml:space="preserve"> payment rates</w:t>
      </w:r>
      <w:r w:rsidR="00D859A9">
        <w:rPr>
          <w:rFonts w:ascii="Times New Roman" w:hAnsi="Times New Roman"/>
        </w:rPr>
        <w:t>.</w:t>
      </w:r>
    </w:p>
    <w:p w14:paraId="2A00291A" w14:textId="4362AC73" w:rsidR="00136C7D" w:rsidRDefault="009D4561" w:rsidP="000A21A4">
      <w:pPr>
        <w:rPr>
          <w:rFonts w:ascii="Times New Roman" w:hAnsi="Times New Roman"/>
        </w:rPr>
      </w:pPr>
      <w:r>
        <w:rPr>
          <w:noProof/>
          <w14:ligatures w14:val="standardContextual"/>
        </w:rPr>
        <w:drawing>
          <wp:inline distT="0" distB="0" distL="0" distR="0" wp14:anchorId="3B7E8661" wp14:editId="0FE15A89">
            <wp:extent cx="5943600" cy="3180080"/>
            <wp:effectExtent l="0" t="0" r="0" b="1270"/>
            <wp:docPr id="5" name="Picture 4" descr="A graph showing the number of covid-19&#10;&#10;Description automatically generated">
              <a:extLst xmlns:a="http://schemas.openxmlformats.org/drawingml/2006/main">
                <a:ext uri="{FF2B5EF4-FFF2-40B4-BE49-F238E27FC236}">
                  <a16:creationId xmlns:a16="http://schemas.microsoft.com/office/drawing/2014/main" id="{2DABF2C7-AA6D-B6B6-B0D5-E51432B84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showing the number of covid-19&#10;&#10;Description automatically generated">
                      <a:extLst>
                        <a:ext uri="{FF2B5EF4-FFF2-40B4-BE49-F238E27FC236}">
                          <a16:creationId xmlns:a16="http://schemas.microsoft.com/office/drawing/2014/main" id="{2DABF2C7-AA6D-B6B6-B0D5-E51432B84142}"/>
                        </a:ext>
                      </a:extLst>
                    </pic:cNvPr>
                    <pic:cNvPicPr>
                      <a:picLocks noChangeAspect="1"/>
                    </pic:cNvPicPr>
                  </pic:nvPicPr>
                  <pic:blipFill>
                    <a:blip r:embed="rId50"/>
                    <a:stretch>
                      <a:fillRect/>
                    </a:stretch>
                  </pic:blipFill>
                  <pic:spPr>
                    <a:xfrm>
                      <a:off x="0" y="0"/>
                      <a:ext cx="5943600" cy="3180080"/>
                    </a:xfrm>
                    <a:prstGeom prst="rect">
                      <a:avLst/>
                    </a:prstGeom>
                  </pic:spPr>
                </pic:pic>
              </a:graphicData>
            </a:graphic>
          </wp:inline>
        </w:drawing>
      </w:r>
      <w:r w:rsidR="00D859A9">
        <w:rPr>
          <w:rFonts w:ascii="Times New Roman" w:hAnsi="Times New Roman"/>
        </w:rPr>
        <w:t xml:space="preserve"> </w:t>
      </w:r>
    </w:p>
    <w:p w14:paraId="72399E5B" w14:textId="77777777" w:rsidR="002E181D" w:rsidRPr="00635212" w:rsidRDefault="002E181D" w:rsidP="002E181D">
      <w:pPr>
        <w:pStyle w:val="NormalWeb"/>
        <w:spacing w:before="200" w:beforeAutospacing="0" w:after="40" w:afterAutospacing="0" w:line="225" w:lineRule="auto"/>
        <w:rPr>
          <w:sz w:val="22"/>
          <w:szCs w:val="22"/>
        </w:rPr>
      </w:pPr>
      <w:r w:rsidRPr="00635212">
        <w:rPr>
          <w:color w:val="44546A" w:themeColor="text2"/>
          <w:kern w:val="24"/>
          <w:sz w:val="22"/>
          <w:szCs w:val="22"/>
        </w:rPr>
        <w:t>Source: HCHB data, as presented in HCHB comments on this Proposed Rule.</w:t>
      </w:r>
    </w:p>
    <w:p w14:paraId="5AB1C6B7" w14:textId="77777777" w:rsidR="009D4561" w:rsidRPr="006F63C4" w:rsidRDefault="009D4561" w:rsidP="000A21A4">
      <w:pPr>
        <w:rPr>
          <w:rFonts w:ascii="Times New Roman" w:hAnsi="Times New Roman"/>
        </w:rPr>
      </w:pPr>
    </w:p>
    <w:p w14:paraId="1754AB17" w14:textId="77777777" w:rsidR="00136C7D" w:rsidRDefault="00136C7D" w:rsidP="000A21A4">
      <w:pPr>
        <w:rPr>
          <w:rFonts w:ascii="Times New Roman" w:hAnsi="Times New Roman"/>
          <w:b/>
          <w:bCs/>
        </w:rPr>
      </w:pPr>
    </w:p>
    <w:p w14:paraId="21E7C3DB" w14:textId="64C955B3" w:rsidR="00136C7D" w:rsidRDefault="002E181D" w:rsidP="00AB1332">
      <w:pPr>
        <w:ind w:firstLine="720"/>
        <w:rPr>
          <w:rFonts w:ascii="Times New Roman" w:hAnsi="Times New Roman"/>
        </w:rPr>
      </w:pPr>
      <w:r w:rsidRPr="002E181D">
        <w:rPr>
          <w:rFonts w:ascii="Times New Roman" w:hAnsi="Times New Roman"/>
        </w:rPr>
        <w:lastRenderedPageBreak/>
        <w:t>Finally, data analytics</w:t>
      </w:r>
      <w:r w:rsidR="000D5C5D">
        <w:rPr>
          <w:rFonts w:ascii="Times New Roman" w:hAnsi="Times New Roman"/>
        </w:rPr>
        <w:t xml:space="preserve"> company, Care Journey</w:t>
      </w:r>
      <w:r w:rsidR="00B66875">
        <w:rPr>
          <w:rFonts w:ascii="Times New Roman" w:hAnsi="Times New Roman"/>
        </w:rPr>
        <w:t xml:space="preserve"> explains that only 63% of inpatient discharges are securing</w:t>
      </w:r>
      <w:r w:rsidR="00147227">
        <w:rPr>
          <w:rFonts w:ascii="Times New Roman" w:hAnsi="Times New Roman"/>
        </w:rPr>
        <w:t xml:space="preserve"> a</w:t>
      </w:r>
      <w:r w:rsidR="00147227" w:rsidRPr="00147227">
        <w:rPr>
          <w:rFonts w:ascii="Times New Roman" w:hAnsi="Times New Roman"/>
        </w:rPr>
        <w:t xml:space="preserve">nd initiating home health services within 7 days. </w:t>
      </w:r>
    </w:p>
    <w:p w14:paraId="12860F2E" w14:textId="77777777" w:rsidR="00147227" w:rsidRDefault="00147227" w:rsidP="000A21A4">
      <w:pPr>
        <w:rPr>
          <w:rFonts w:ascii="Times New Roman" w:hAnsi="Times New Roman"/>
        </w:rPr>
      </w:pPr>
    </w:p>
    <w:p w14:paraId="0D67D583" w14:textId="7964A7EF" w:rsidR="00147227" w:rsidRPr="00147227" w:rsidRDefault="00147227" w:rsidP="000A21A4">
      <w:pPr>
        <w:rPr>
          <w:rFonts w:ascii="Times New Roman" w:hAnsi="Times New Roman"/>
        </w:rPr>
      </w:pPr>
      <w:r>
        <w:rPr>
          <w:noProof/>
          <w14:ligatures w14:val="standardContextual"/>
        </w:rPr>
        <w:drawing>
          <wp:inline distT="0" distB="0" distL="0" distR="0" wp14:anchorId="258B7BCE" wp14:editId="3863AB54">
            <wp:extent cx="5943600" cy="3667760"/>
            <wp:effectExtent l="0" t="0" r="0" b="8890"/>
            <wp:docPr id="4" name="Picture 3" descr="A graph of blue and white text&#10;&#10;Description automatically generated">
              <a:extLst xmlns:a="http://schemas.openxmlformats.org/drawingml/2006/main">
                <a:ext uri="{FF2B5EF4-FFF2-40B4-BE49-F238E27FC236}">
                  <a16:creationId xmlns:a16="http://schemas.microsoft.com/office/drawing/2014/main" id="{DDE061F0-FECC-8C04-3EFF-FDA27CF83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blue and white text&#10;&#10;Description automatically generated">
                      <a:extLst>
                        <a:ext uri="{FF2B5EF4-FFF2-40B4-BE49-F238E27FC236}">
                          <a16:creationId xmlns:a16="http://schemas.microsoft.com/office/drawing/2014/main" id="{DDE061F0-FECC-8C04-3EFF-FDA27CF8362D}"/>
                        </a:ext>
                      </a:extLst>
                    </pic:cNvPr>
                    <pic:cNvPicPr>
                      <a:picLocks noChangeAspect="1"/>
                    </pic:cNvPicPr>
                  </pic:nvPicPr>
                  <pic:blipFill>
                    <a:blip r:embed="rId51"/>
                    <a:stretch>
                      <a:fillRect/>
                    </a:stretch>
                  </pic:blipFill>
                  <pic:spPr>
                    <a:xfrm>
                      <a:off x="0" y="0"/>
                      <a:ext cx="5943600" cy="3667760"/>
                    </a:xfrm>
                    <a:prstGeom prst="rect">
                      <a:avLst/>
                    </a:prstGeom>
                  </pic:spPr>
                </pic:pic>
              </a:graphicData>
            </a:graphic>
          </wp:inline>
        </w:drawing>
      </w:r>
    </w:p>
    <w:p w14:paraId="747DE8D8" w14:textId="77777777" w:rsidR="00136C7D" w:rsidRDefault="00136C7D" w:rsidP="000A21A4">
      <w:pPr>
        <w:rPr>
          <w:rFonts w:ascii="Times New Roman" w:hAnsi="Times New Roman"/>
          <w:b/>
          <w:bCs/>
        </w:rPr>
      </w:pPr>
    </w:p>
    <w:p w14:paraId="35943607" w14:textId="77777777" w:rsidR="00136C7D" w:rsidRPr="00F14057" w:rsidRDefault="00136C7D" w:rsidP="000A21A4">
      <w:pPr>
        <w:rPr>
          <w:rFonts w:ascii="Times New Roman" w:hAnsi="Times New Roman"/>
        </w:rPr>
      </w:pPr>
    </w:p>
    <w:p w14:paraId="467A15EC" w14:textId="13315C2D" w:rsidR="00136C7D" w:rsidRPr="00F14057" w:rsidRDefault="00C0720A" w:rsidP="00AB1332">
      <w:pPr>
        <w:ind w:firstLine="720"/>
        <w:rPr>
          <w:rFonts w:ascii="Times New Roman" w:hAnsi="Times New Roman"/>
        </w:rPr>
      </w:pPr>
      <w:r>
        <w:rPr>
          <w:rFonts w:ascii="Times New Roman" w:hAnsi="Times New Roman"/>
        </w:rPr>
        <w:t>We characterized this data</w:t>
      </w:r>
      <w:r w:rsidR="00186A77">
        <w:rPr>
          <w:rFonts w:ascii="Times New Roman" w:hAnsi="Times New Roman"/>
        </w:rPr>
        <w:t xml:space="preserve"> as</w:t>
      </w:r>
      <w:r w:rsidR="00F14057">
        <w:rPr>
          <w:rFonts w:ascii="Times New Roman" w:hAnsi="Times New Roman"/>
        </w:rPr>
        <w:t xml:space="preserve"> </w:t>
      </w:r>
      <w:r w:rsidR="00186A77">
        <w:rPr>
          <w:rFonts w:ascii="Times New Roman" w:hAnsi="Times New Roman"/>
        </w:rPr>
        <w:t>“</w:t>
      </w:r>
      <w:r w:rsidR="00F14057">
        <w:rPr>
          <w:rFonts w:ascii="Times New Roman" w:hAnsi="Times New Roman"/>
        </w:rPr>
        <w:t>scary</w:t>
      </w:r>
      <w:r w:rsidR="00186A77">
        <w:rPr>
          <w:rFonts w:ascii="Times New Roman" w:hAnsi="Times New Roman"/>
        </w:rPr>
        <w:t xml:space="preserve">” in our CY 2024 comments. </w:t>
      </w:r>
      <w:r w:rsidR="009F77D1">
        <w:rPr>
          <w:rFonts w:ascii="Times New Roman" w:hAnsi="Times New Roman"/>
        </w:rPr>
        <w:t xml:space="preserve">It has gotten worse and all trends point </w:t>
      </w:r>
      <w:proofErr w:type="spellStart"/>
      <w:r w:rsidR="009F77D1">
        <w:rPr>
          <w:rFonts w:ascii="Times New Roman" w:hAnsi="Times New Roman"/>
        </w:rPr>
        <w:t>o</w:t>
      </w:r>
      <w:proofErr w:type="spellEnd"/>
      <w:r w:rsidR="009F77D1">
        <w:rPr>
          <w:rFonts w:ascii="Times New Roman" w:hAnsi="Times New Roman"/>
        </w:rPr>
        <w:t xml:space="preserve"> the decline to continue</w:t>
      </w:r>
      <w:r w:rsidR="00391557">
        <w:rPr>
          <w:rFonts w:ascii="Times New Roman" w:hAnsi="Times New Roman"/>
        </w:rPr>
        <w:t xml:space="preserve">. HHAs routinely express to </w:t>
      </w:r>
      <w:r>
        <w:rPr>
          <w:rFonts w:ascii="Times New Roman" w:hAnsi="Times New Roman"/>
        </w:rPr>
        <w:t>the</w:t>
      </w:r>
      <w:r w:rsidR="00D90D62">
        <w:rPr>
          <w:rFonts w:ascii="Times New Roman" w:hAnsi="Times New Roman"/>
        </w:rPr>
        <w:t xml:space="preserve"> ALLIANCE</w:t>
      </w:r>
      <w:r w:rsidR="00391557">
        <w:rPr>
          <w:rFonts w:ascii="Times New Roman" w:hAnsi="Times New Roman"/>
        </w:rPr>
        <w:t xml:space="preserve"> that </w:t>
      </w:r>
      <w:r w:rsidR="00D9198A">
        <w:rPr>
          <w:rFonts w:ascii="Times New Roman" w:hAnsi="Times New Roman"/>
        </w:rPr>
        <w:t xml:space="preserve">nurses are rejecting home health care employment every day due to </w:t>
      </w:r>
      <w:r w:rsidR="001B742D">
        <w:rPr>
          <w:rFonts w:ascii="Times New Roman" w:hAnsi="Times New Roman"/>
        </w:rPr>
        <w:t>compensation</w:t>
      </w:r>
      <w:r w:rsidR="005D1CFD">
        <w:rPr>
          <w:rFonts w:ascii="Times New Roman" w:hAnsi="Times New Roman"/>
        </w:rPr>
        <w:t xml:space="preserve"> offers that fall short of what they can earn in other care sectors. Reducing payment rates at this time will certainly make care access even worse. </w:t>
      </w:r>
    </w:p>
    <w:p w14:paraId="5715EDCA" w14:textId="77777777" w:rsidR="00F14057" w:rsidRDefault="00F14057" w:rsidP="000A21A4">
      <w:pPr>
        <w:rPr>
          <w:rFonts w:ascii="Times New Roman" w:hAnsi="Times New Roman"/>
          <w:b/>
          <w:bCs/>
        </w:rPr>
      </w:pPr>
    </w:p>
    <w:p w14:paraId="42E2FBE1" w14:textId="77777777" w:rsidR="00F14057" w:rsidRDefault="00F14057" w:rsidP="000A21A4">
      <w:pPr>
        <w:rPr>
          <w:rFonts w:ascii="Times New Roman" w:hAnsi="Times New Roman"/>
          <w:b/>
          <w:bCs/>
        </w:rPr>
      </w:pPr>
    </w:p>
    <w:p w14:paraId="425BB0F4" w14:textId="77777777" w:rsidR="00F14057" w:rsidRDefault="00F14057" w:rsidP="000A21A4">
      <w:pPr>
        <w:rPr>
          <w:rFonts w:ascii="Times New Roman" w:hAnsi="Times New Roman"/>
          <w:b/>
          <w:bCs/>
        </w:rPr>
      </w:pPr>
    </w:p>
    <w:p w14:paraId="2BFD1E88" w14:textId="11E98403" w:rsidR="00AC4600" w:rsidRDefault="00301389" w:rsidP="000A21A4">
      <w:pPr>
        <w:rPr>
          <w:rFonts w:ascii="Times New Roman" w:hAnsi="Times New Roman"/>
        </w:rPr>
      </w:pPr>
      <w:r w:rsidRPr="003D1E2E">
        <w:rPr>
          <w:rFonts w:ascii="Times New Roman" w:hAnsi="Times New Roman"/>
          <w:b/>
          <w:bCs/>
        </w:rPr>
        <w:t xml:space="preserve">Additional Proposed Changes Affecting Medicare Payment Rate </w:t>
      </w:r>
      <w:r w:rsidR="003D1E2E">
        <w:rPr>
          <w:rFonts w:ascii="Times New Roman" w:hAnsi="Times New Roman"/>
          <w:b/>
          <w:bCs/>
        </w:rPr>
        <w:t>W</w:t>
      </w:r>
      <w:r w:rsidRPr="003D1E2E">
        <w:rPr>
          <w:rFonts w:ascii="Times New Roman" w:hAnsi="Times New Roman"/>
          <w:b/>
          <w:bCs/>
        </w:rPr>
        <w:t>ill Gr</w:t>
      </w:r>
      <w:r w:rsidR="00C73CC7" w:rsidRPr="003D1E2E">
        <w:rPr>
          <w:rFonts w:ascii="Times New Roman" w:hAnsi="Times New Roman"/>
          <w:b/>
          <w:bCs/>
        </w:rPr>
        <w:t>eatly Increase the Disruptive Nature of the CY2024 Payment Rule Creating Further Risks to Care</w:t>
      </w:r>
    </w:p>
    <w:p w14:paraId="4D497B50" w14:textId="77777777" w:rsidR="003D1E2E" w:rsidRDefault="003D1E2E" w:rsidP="000A21A4">
      <w:pPr>
        <w:rPr>
          <w:rFonts w:ascii="Times New Roman" w:hAnsi="Times New Roman"/>
        </w:rPr>
      </w:pPr>
    </w:p>
    <w:p w14:paraId="5914A296" w14:textId="691597EC" w:rsidR="003D1E2E" w:rsidRDefault="003D1E2E" w:rsidP="00AB1332">
      <w:pPr>
        <w:ind w:firstLine="360"/>
        <w:rPr>
          <w:rFonts w:ascii="Times New Roman" w:hAnsi="Times New Roman"/>
        </w:rPr>
      </w:pPr>
      <w:r>
        <w:rPr>
          <w:rFonts w:ascii="Times New Roman" w:hAnsi="Times New Roman"/>
        </w:rPr>
        <w:t xml:space="preserve">The above analysis fully substantiates </w:t>
      </w:r>
      <w:r w:rsidR="00D90D62">
        <w:rPr>
          <w:rFonts w:ascii="Times New Roman" w:hAnsi="Times New Roman"/>
        </w:rPr>
        <w:t>THE ALLIANCE</w:t>
      </w:r>
      <w:r>
        <w:rPr>
          <w:rFonts w:ascii="Times New Roman" w:hAnsi="Times New Roman"/>
        </w:rPr>
        <w:t xml:space="preserve">’s </w:t>
      </w:r>
      <w:r w:rsidR="00D3291C">
        <w:rPr>
          <w:rFonts w:ascii="Times New Roman" w:hAnsi="Times New Roman"/>
        </w:rPr>
        <w:t>concerns</w:t>
      </w:r>
      <w:r>
        <w:rPr>
          <w:rFonts w:ascii="Times New Roman" w:hAnsi="Times New Roman"/>
        </w:rPr>
        <w:t xml:space="preserve"> that the proposed rate cut in 2024 will be a </w:t>
      </w:r>
      <w:r w:rsidR="00064D97">
        <w:rPr>
          <w:rFonts w:ascii="Times New Roman" w:hAnsi="Times New Roman"/>
        </w:rPr>
        <w:t>disaster for home health services patients and HHAs. However, there are additional elements of the proposed rule that affect payment</w:t>
      </w:r>
      <w:r w:rsidR="00D3291C">
        <w:rPr>
          <w:rFonts w:ascii="Times New Roman" w:hAnsi="Times New Roman"/>
        </w:rPr>
        <w:t xml:space="preserve"> that can be fully expected to compound the negative impact of that rate cut. Thes</w:t>
      </w:r>
      <w:r w:rsidR="003D3F7E">
        <w:rPr>
          <w:rFonts w:ascii="Times New Roman" w:hAnsi="Times New Roman"/>
        </w:rPr>
        <w:t>e</w:t>
      </w:r>
      <w:r w:rsidR="00D3291C">
        <w:rPr>
          <w:rFonts w:ascii="Times New Roman" w:hAnsi="Times New Roman"/>
        </w:rPr>
        <w:t xml:space="preserve"> other</w:t>
      </w:r>
      <w:r w:rsidR="003D3F7E">
        <w:rPr>
          <w:rFonts w:ascii="Times New Roman" w:hAnsi="Times New Roman"/>
        </w:rPr>
        <w:t xml:space="preserve"> proposals include:</w:t>
      </w:r>
    </w:p>
    <w:p w14:paraId="062B8709" w14:textId="77777777" w:rsidR="00631739" w:rsidRDefault="00631739" w:rsidP="00AB1332">
      <w:pPr>
        <w:ind w:firstLine="360"/>
        <w:rPr>
          <w:rFonts w:ascii="Times New Roman" w:hAnsi="Times New Roman"/>
        </w:rPr>
      </w:pPr>
    </w:p>
    <w:p w14:paraId="393A5CEE" w14:textId="01A27063" w:rsidR="003D3F7E" w:rsidRDefault="003D3F7E" w:rsidP="003D3F7E">
      <w:pPr>
        <w:pStyle w:val="ListParagraph"/>
        <w:numPr>
          <w:ilvl w:val="0"/>
          <w:numId w:val="3"/>
        </w:numPr>
        <w:rPr>
          <w:rFonts w:ascii="Times New Roman" w:hAnsi="Times New Roman"/>
        </w:rPr>
      </w:pPr>
      <w:r>
        <w:rPr>
          <w:rFonts w:ascii="Times New Roman" w:hAnsi="Times New Roman"/>
        </w:rPr>
        <w:t>The failure to correct the unprece</w:t>
      </w:r>
      <w:r w:rsidR="00941559">
        <w:rPr>
          <w:rFonts w:ascii="Times New Roman" w:hAnsi="Times New Roman"/>
        </w:rPr>
        <w:t>de</w:t>
      </w:r>
      <w:r>
        <w:rPr>
          <w:rFonts w:ascii="Times New Roman" w:hAnsi="Times New Roman"/>
        </w:rPr>
        <w:t>nted error</w:t>
      </w:r>
      <w:r w:rsidR="00941559">
        <w:rPr>
          <w:rFonts w:ascii="Times New Roman" w:hAnsi="Times New Roman"/>
        </w:rPr>
        <w:t xml:space="preserve"> level</w:t>
      </w:r>
      <w:r>
        <w:rPr>
          <w:rFonts w:ascii="Times New Roman" w:hAnsi="Times New Roman"/>
        </w:rPr>
        <w:t xml:space="preserve"> in the </w:t>
      </w:r>
      <w:r w:rsidR="00941559">
        <w:rPr>
          <w:rFonts w:ascii="Times New Roman" w:hAnsi="Times New Roman"/>
        </w:rPr>
        <w:t>forecast of HHA cost changes in 2021-2022</w:t>
      </w:r>
      <w:r w:rsidR="00020CC5">
        <w:rPr>
          <w:rFonts w:ascii="Times New Roman" w:hAnsi="Times New Roman"/>
        </w:rPr>
        <w:t>.</w:t>
      </w:r>
    </w:p>
    <w:p w14:paraId="10A13B66" w14:textId="25E5F2DB" w:rsidR="00941559" w:rsidRDefault="00020CC5" w:rsidP="003D3F7E">
      <w:pPr>
        <w:pStyle w:val="ListParagraph"/>
        <w:numPr>
          <w:ilvl w:val="0"/>
          <w:numId w:val="3"/>
        </w:numPr>
        <w:rPr>
          <w:rFonts w:ascii="Times New Roman" w:hAnsi="Times New Roman"/>
        </w:rPr>
      </w:pPr>
      <w:r>
        <w:rPr>
          <w:rFonts w:ascii="Times New Roman" w:hAnsi="Times New Roman"/>
        </w:rPr>
        <w:t>S</w:t>
      </w:r>
      <w:r w:rsidR="00810253">
        <w:rPr>
          <w:rFonts w:ascii="Times New Roman" w:hAnsi="Times New Roman"/>
        </w:rPr>
        <w:t xml:space="preserve">ignificant shifts in the wage index </w:t>
      </w:r>
      <w:r>
        <w:rPr>
          <w:rFonts w:ascii="Times New Roman" w:hAnsi="Times New Roman"/>
        </w:rPr>
        <w:t>values.</w:t>
      </w:r>
    </w:p>
    <w:p w14:paraId="7D4DF2DB" w14:textId="4FBE3B9D" w:rsidR="00020CC5" w:rsidRDefault="00020CC5" w:rsidP="003D3F7E">
      <w:pPr>
        <w:pStyle w:val="ListParagraph"/>
        <w:numPr>
          <w:ilvl w:val="0"/>
          <w:numId w:val="3"/>
        </w:numPr>
        <w:rPr>
          <w:rFonts w:ascii="Times New Roman" w:hAnsi="Times New Roman"/>
        </w:rPr>
      </w:pPr>
      <w:r>
        <w:rPr>
          <w:rFonts w:ascii="Times New Roman" w:hAnsi="Times New Roman"/>
        </w:rPr>
        <w:t>R</w:t>
      </w:r>
      <w:r w:rsidR="00810253">
        <w:rPr>
          <w:rFonts w:ascii="Times New Roman" w:hAnsi="Times New Roman"/>
        </w:rPr>
        <w:t>eca</w:t>
      </w:r>
      <w:r>
        <w:rPr>
          <w:rFonts w:ascii="Times New Roman" w:hAnsi="Times New Roman"/>
        </w:rPr>
        <w:t>libration of the 432 case mix weights.</w:t>
      </w:r>
    </w:p>
    <w:p w14:paraId="490173B1" w14:textId="77777777" w:rsidR="00F95373" w:rsidRDefault="00020CC5" w:rsidP="003D3F7E">
      <w:pPr>
        <w:pStyle w:val="ListParagraph"/>
        <w:numPr>
          <w:ilvl w:val="0"/>
          <w:numId w:val="3"/>
        </w:numPr>
        <w:rPr>
          <w:rFonts w:ascii="Times New Roman" w:hAnsi="Times New Roman"/>
        </w:rPr>
      </w:pPr>
      <w:r>
        <w:rPr>
          <w:rFonts w:ascii="Times New Roman" w:hAnsi="Times New Roman"/>
        </w:rPr>
        <w:t>Market Basket Index rebasing and revision of input weights.</w:t>
      </w:r>
      <w:r w:rsidR="00932202">
        <w:rPr>
          <w:rFonts w:ascii="Times New Roman" w:hAnsi="Times New Roman"/>
        </w:rPr>
        <w:t xml:space="preserve"> </w:t>
      </w:r>
    </w:p>
    <w:p w14:paraId="76494152" w14:textId="77777777" w:rsidR="0077773F" w:rsidRDefault="0077773F" w:rsidP="00803129">
      <w:pPr>
        <w:ind w:firstLine="720"/>
        <w:rPr>
          <w:rFonts w:ascii="Times New Roman" w:hAnsi="Times New Roman"/>
          <w:b/>
          <w:bCs/>
        </w:rPr>
      </w:pPr>
    </w:p>
    <w:p w14:paraId="26943D37" w14:textId="77777777" w:rsidR="0077773F" w:rsidRDefault="0077773F" w:rsidP="00803129">
      <w:pPr>
        <w:ind w:firstLine="720"/>
        <w:rPr>
          <w:rFonts w:ascii="Times New Roman" w:hAnsi="Times New Roman"/>
          <w:b/>
          <w:bCs/>
        </w:rPr>
      </w:pPr>
    </w:p>
    <w:p w14:paraId="4CAA83A4" w14:textId="77777777" w:rsidR="0077773F" w:rsidRDefault="0077773F" w:rsidP="00803129">
      <w:pPr>
        <w:ind w:firstLine="720"/>
        <w:rPr>
          <w:rFonts w:ascii="Times New Roman" w:hAnsi="Times New Roman"/>
          <w:b/>
          <w:bCs/>
        </w:rPr>
      </w:pPr>
    </w:p>
    <w:p w14:paraId="56E5D544" w14:textId="77777777" w:rsidR="0077773F" w:rsidRDefault="0077773F" w:rsidP="00803129">
      <w:pPr>
        <w:ind w:firstLine="720"/>
        <w:rPr>
          <w:rFonts w:ascii="Times New Roman" w:hAnsi="Times New Roman"/>
          <w:b/>
          <w:bCs/>
        </w:rPr>
      </w:pPr>
    </w:p>
    <w:p w14:paraId="34FE9F26" w14:textId="77777777" w:rsidR="0077773F" w:rsidRDefault="0077773F" w:rsidP="00803129">
      <w:pPr>
        <w:ind w:firstLine="720"/>
        <w:rPr>
          <w:rFonts w:ascii="Times New Roman" w:hAnsi="Times New Roman"/>
          <w:b/>
          <w:bCs/>
        </w:rPr>
      </w:pPr>
    </w:p>
    <w:p w14:paraId="666808ED" w14:textId="77777777" w:rsidR="0077773F" w:rsidRDefault="0077773F" w:rsidP="00803129">
      <w:pPr>
        <w:ind w:firstLine="720"/>
        <w:rPr>
          <w:rFonts w:ascii="Times New Roman" w:hAnsi="Times New Roman"/>
          <w:b/>
          <w:bCs/>
        </w:rPr>
      </w:pPr>
    </w:p>
    <w:p w14:paraId="5ADB6F2E" w14:textId="77777777" w:rsidR="0077773F" w:rsidRDefault="0077773F" w:rsidP="00803129">
      <w:pPr>
        <w:ind w:firstLine="720"/>
        <w:rPr>
          <w:rFonts w:ascii="Times New Roman" w:hAnsi="Times New Roman"/>
          <w:b/>
          <w:bCs/>
        </w:rPr>
      </w:pPr>
    </w:p>
    <w:p w14:paraId="5415AFED" w14:textId="77529F3C" w:rsidR="00803129" w:rsidRDefault="00803129" w:rsidP="00803129">
      <w:pPr>
        <w:ind w:firstLine="720"/>
        <w:rPr>
          <w:rFonts w:ascii="Times New Roman" w:hAnsi="Times New Roman"/>
          <w:b/>
          <w:bCs/>
        </w:rPr>
      </w:pPr>
      <w:r w:rsidRPr="00803129">
        <w:rPr>
          <w:rFonts w:ascii="Times New Roman" w:hAnsi="Times New Roman"/>
          <w:b/>
          <w:bCs/>
        </w:rPr>
        <w:t>The Financial Shortfall in the Market Basket Index</w:t>
      </w:r>
      <w:r w:rsidR="00195E40">
        <w:rPr>
          <w:rFonts w:ascii="Times New Roman" w:hAnsi="Times New Roman"/>
          <w:b/>
          <w:bCs/>
        </w:rPr>
        <w:t xml:space="preserve"> Will Continue</w:t>
      </w:r>
      <w:r w:rsidR="007151D3">
        <w:rPr>
          <w:rFonts w:ascii="Times New Roman" w:hAnsi="Times New Roman"/>
          <w:b/>
          <w:bCs/>
        </w:rPr>
        <w:t xml:space="preserve"> to</w:t>
      </w:r>
      <w:r w:rsidRPr="00803129">
        <w:rPr>
          <w:rFonts w:ascii="Times New Roman" w:hAnsi="Times New Roman"/>
          <w:b/>
          <w:bCs/>
        </w:rPr>
        <w:t xml:space="preserve"> Disrupt</w:t>
      </w:r>
    </w:p>
    <w:p w14:paraId="57129399" w14:textId="5F0AE732" w:rsidR="00F95373" w:rsidRPr="00803129" w:rsidRDefault="00803129" w:rsidP="00B304CD">
      <w:pPr>
        <w:ind w:left="1440" w:firstLine="720"/>
        <w:rPr>
          <w:rFonts w:ascii="Times New Roman" w:hAnsi="Times New Roman"/>
          <w:b/>
          <w:bCs/>
        </w:rPr>
      </w:pPr>
      <w:r w:rsidRPr="00803129">
        <w:rPr>
          <w:rFonts w:ascii="Times New Roman" w:hAnsi="Times New Roman"/>
          <w:b/>
          <w:bCs/>
        </w:rPr>
        <w:t>the Financial Stability of HHAs</w:t>
      </w:r>
    </w:p>
    <w:p w14:paraId="1D1344C6" w14:textId="29779723" w:rsidR="00F95373" w:rsidRDefault="005161F6" w:rsidP="00CD6B80">
      <w:pPr>
        <w:spacing w:before="100" w:beforeAutospacing="1" w:after="100" w:afterAutospacing="1"/>
        <w:ind w:firstLine="720"/>
        <w:rPr>
          <w:rFonts w:ascii="Times New Roman" w:hAnsi="Times New Roman"/>
          <w:szCs w:val="22"/>
        </w:rPr>
      </w:pPr>
      <w:r>
        <w:rPr>
          <w:rFonts w:ascii="Times New Roman" w:hAnsi="Times New Roman"/>
          <w:szCs w:val="22"/>
        </w:rPr>
        <w:t>CMS has confirmed that its modeling led to a Market Basket Index forecasting error</w:t>
      </w:r>
      <w:r w:rsidR="007905B7">
        <w:rPr>
          <w:rFonts w:ascii="Times New Roman" w:hAnsi="Times New Roman"/>
          <w:szCs w:val="22"/>
        </w:rPr>
        <w:t xml:space="preserve"> for CY2021 through CY 2022. </w:t>
      </w:r>
      <w:r w:rsidR="00280532">
        <w:rPr>
          <w:rFonts w:ascii="Times New Roman" w:hAnsi="Times New Roman"/>
          <w:szCs w:val="22"/>
        </w:rPr>
        <w:t xml:space="preserve">The Alliance previously estimated that error to be 1.8 and 3.2 points in 2021 and 2022 respectively. </w:t>
      </w:r>
      <w:r w:rsidR="000E1432">
        <w:rPr>
          <w:rFonts w:ascii="Times New Roman" w:hAnsi="Times New Roman"/>
          <w:szCs w:val="22"/>
        </w:rPr>
        <w:t>In previou</w:t>
      </w:r>
      <w:r w:rsidR="00CD6B80">
        <w:rPr>
          <w:rFonts w:ascii="Times New Roman" w:hAnsi="Times New Roman"/>
          <w:szCs w:val="22"/>
        </w:rPr>
        <w:t>s</w:t>
      </w:r>
      <w:r w:rsidR="000E1432">
        <w:rPr>
          <w:rFonts w:ascii="Times New Roman" w:hAnsi="Times New Roman"/>
          <w:szCs w:val="22"/>
        </w:rPr>
        <w:t xml:space="preserve"> rulemaking, CMS </w:t>
      </w:r>
      <w:r w:rsidR="00903F56">
        <w:rPr>
          <w:rFonts w:ascii="Times New Roman" w:hAnsi="Times New Roman"/>
          <w:szCs w:val="22"/>
        </w:rPr>
        <w:t>declined</w:t>
      </w:r>
      <w:r w:rsidR="000E1432">
        <w:rPr>
          <w:rFonts w:ascii="Times New Roman" w:hAnsi="Times New Roman"/>
          <w:szCs w:val="22"/>
        </w:rPr>
        <w:t xml:space="preserve"> to correct the error indicating it did not have such authority. </w:t>
      </w:r>
      <w:r w:rsidR="007905B7">
        <w:rPr>
          <w:rFonts w:ascii="Times New Roman" w:hAnsi="Times New Roman"/>
          <w:szCs w:val="22"/>
        </w:rPr>
        <w:t xml:space="preserve">  </w:t>
      </w:r>
    </w:p>
    <w:p w14:paraId="0DAA260D" w14:textId="1F5CF203" w:rsidR="00F95373" w:rsidRPr="00905FA1" w:rsidRDefault="00F95373" w:rsidP="00AB1332">
      <w:pPr>
        <w:spacing w:before="100" w:beforeAutospacing="1" w:after="100" w:afterAutospacing="1"/>
        <w:ind w:firstLine="720"/>
        <w:rPr>
          <w:rFonts w:ascii="Times New Roman" w:hAnsi="Times New Roman"/>
          <w:szCs w:val="22"/>
        </w:rPr>
      </w:pPr>
      <w:r w:rsidRPr="00905FA1">
        <w:rPr>
          <w:rFonts w:ascii="Times New Roman" w:hAnsi="Times New Roman"/>
          <w:szCs w:val="22"/>
        </w:rPr>
        <w:t xml:space="preserve">As </w:t>
      </w:r>
      <w:r w:rsidR="00DA27DB">
        <w:rPr>
          <w:rFonts w:ascii="Times New Roman" w:hAnsi="Times New Roman"/>
          <w:szCs w:val="22"/>
        </w:rPr>
        <w:t xml:space="preserve">submitted in the Alliance’s CY 2024 NPRM comments, the estimated impact of that </w:t>
      </w:r>
      <w:proofErr w:type="spellStart"/>
      <w:r w:rsidR="00DA27DB">
        <w:rPr>
          <w:rFonts w:ascii="Times New Roman" w:hAnsi="Times New Roman"/>
          <w:szCs w:val="22"/>
        </w:rPr>
        <w:t>error</w:t>
      </w:r>
      <w:r w:rsidRPr="00905FA1">
        <w:rPr>
          <w:rFonts w:ascii="Times New Roman" w:hAnsi="Times New Roman"/>
          <w:szCs w:val="22"/>
        </w:rPr>
        <w:t>cast</w:t>
      </w:r>
      <w:proofErr w:type="spellEnd"/>
      <w:r w:rsidRPr="00905FA1">
        <w:rPr>
          <w:rFonts w:ascii="Times New Roman" w:hAnsi="Times New Roman"/>
          <w:szCs w:val="22"/>
        </w:rPr>
        <w:t xml:space="preserve"> error </w:t>
      </w:r>
      <w:r w:rsidR="00484CE3">
        <w:rPr>
          <w:rFonts w:ascii="Times New Roman" w:hAnsi="Times New Roman"/>
          <w:szCs w:val="22"/>
        </w:rPr>
        <w:t>is expected to</w:t>
      </w:r>
      <w:r w:rsidRPr="00905FA1">
        <w:rPr>
          <w:rFonts w:ascii="Times New Roman" w:hAnsi="Times New Roman"/>
          <w:szCs w:val="22"/>
        </w:rPr>
        <w:t xml:space="preserve"> result in an approximately $11 billion underpayment by Medicare over a ten-year period</w:t>
      </w:r>
      <w:r w:rsidR="00B80ED4" w:rsidRPr="00905FA1">
        <w:rPr>
          <w:rFonts w:ascii="Times New Roman" w:hAnsi="Times New Roman"/>
          <w:szCs w:val="22"/>
        </w:rPr>
        <w:t xml:space="preserve">. </w:t>
      </w:r>
    </w:p>
    <w:p w14:paraId="5382746C" w14:textId="70F722D6" w:rsidR="00F95373" w:rsidRPr="00F95373" w:rsidRDefault="00F95373" w:rsidP="00F95373">
      <w:pPr>
        <w:jc w:val="center"/>
        <w:rPr>
          <w:rFonts w:asciiTheme="minorHAnsi" w:hAnsiTheme="minorHAnsi" w:cstheme="minorHAnsi"/>
          <w:b/>
          <w:bCs/>
          <w:szCs w:val="22"/>
        </w:rPr>
      </w:pPr>
      <w:r w:rsidRPr="00F95373">
        <w:rPr>
          <w:rFonts w:asciiTheme="minorHAnsi" w:hAnsiTheme="minorHAnsi" w:cstheme="minorHAnsi"/>
          <w:b/>
          <w:bCs/>
          <w:szCs w:val="22"/>
        </w:rPr>
        <w:t>Projected Impact of 5.2 Forecast Market Basket Error in CY 2021 through CY 2030</w:t>
      </w:r>
    </w:p>
    <w:p w14:paraId="4EB939D0" w14:textId="77777777" w:rsidR="00F95373" w:rsidRPr="00F95373" w:rsidRDefault="00F95373" w:rsidP="00F95373">
      <w:pPr>
        <w:jc w:val="center"/>
        <w:rPr>
          <w:rFonts w:asciiTheme="minorHAnsi" w:hAnsiTheme="minorHAnsi" w:cstheme="minorHAnsi"/>
          <w:b/>
          <w:bCs/>
          <w:szCs w:val="22"/>
        </w:rPr>
      </w:pPr>
    </w:p>
    <w:tbl>
      <w:tblPr>
        <w:tblW w:w="4735" w:type="dxa"/>
        <w:jc w:val="center"/>
        <w:tblCellMar>
          <w:left w:w="0" w:type="dxa"/>
          <w:right w:w="0" w:type="dxa"/>
        </w:tblCellMar>
        <w:tblLook w:val="04A0" w:firstRow="1" w:lastRow="0" w:firstColumn="1" w:lastColumn="0" w:noHBand="0" w:noVBand="1"/>
      </w:tblPr>
      <w:tblGrid>
        <w:gridCol w:w="1909"/>
        <w:gridCol w:w="2826"/>
      </w:tblGrid>
      <w:tr w:rsidR="00F95373" w:rsidRPr="007C786F" w14:paraId="46583771" w14:textId="77777777" w:rsidTr="000C33D9">
        <w:trPr>
          <w:trHeight w:val="224"/>
          <w:jc w:val="center"/>
        </w:trPr>
        <w:tc>
          <w:tcPr>
            <w:tcW w:w="1909" w:type="dxa"/>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bottom"/>
            <w:hideMark/>
          </w:tcPr>
          <w:p w14:paraId="32EBAD97" w14:textId="77777777" w:rsidR="00F95373" w:rsidRPr="00F95373" w:rsidRDefault="00F95373" w:rsidP="00F95373">
            <w:pPr>
              <w:rPr>
                <w:rFonts w:asciiTheme="minorHAnsi" w:hAnsiTheme="minorHAnsi" w:cstheme="minorHAnsi"/>
                <w:b/>
                <w:bCs/>
                <w:color w:val="000000"/>
                <w:szCs w:val="22"/>
              </w:rPr>
            </w:pPr>
            <w:r w:rsidRPr="00F95373">
              <w:rPr>
                <w:rFonts w:asciiTheme="minorHAnsi" w:hAnsiTheme="minorHAnsi" w:cstheme="minorHAnsi"/>
                <w:b/>
                <w:bCs/>
                <w:color w:val="000000"/>
                <w:szCs w:val="22"/>
              </w:rPr>
              <w:t>Total Payments</w:t>
            </w:r>
          </w:p>
        </w:tc>
        <w:tc>
          <w:tcPr>
            <w:tcW w:w="2826" w:type="dxa"/>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bottom"/>
            <w:hideMark/>
          </w:tcPr>
          <w:p w14:paraId="166F4935" w14:textId="77777777" w:rsidR="00F95373" w:rsidRPr="00F95373" w:rsidRDefault="00F95373" w:rsidP="00F95373">
            <w:pPr>
              <w:ind w:right="234"/>
              <w:jc w:val="right"/>
              <w:rPr>
                <w:rFonts w:asciiTheme="minorHAnsi" w:hAnsiTheme="minorHAnsi" w:cstheme="minorHAnsi"/>
                <w:b/>
                <w:bCs/>
                <w:color w:val="000000"/>
                <w:szCs w:val="22"/>
              </w:rPr>
            </w:pPr>
            <w:r w:rsidRPr="00F95373">
              <w:rPr>
                <w:rFonts w:asciiTheme="minorHAnsi" w:hAnsiTheme="minorHAnsi" w:cstheme="minorHAnsi"/>
                <w:b/>
                <w:bCs/>
                <w:color w:val="000000"/>
                <w:szCs w:val="22"/>
              </w:rPr>
              <w:t>Impact of CY 2021 and CY 2022 Forecast Error</w:t>
            </w:r>
          </w:p>
        </w:tc>
      </w:tr>
      <w:tr w:rsidR="00F95373" w:rsidRPr="007C786F" w14:paraId="1B2E795C"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C4F0"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B711B0"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-$285,512,085</w:t>
            </w:r>
          </w:p>
        </w:tc>
      </w:tr>
      <w:tr w:rsidR="00F95373" w:rsidRPr="007C786F" w14:paraId="5A5367C6"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291E4"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D3BF01"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-$867,452,091</w:t>
            </w:r>
          </w:p>
        </w:tc>
      </w:tr>
      <w:tr w:rsidR="00F95373" w:rsidRPr="007C786F" w14:paraId="3C59E7FC"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0EBAC"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1E1009"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-$871,874,624</w:t>
            </w:r>
          </w:p>
        </w:tc>
      </w:tr>
      <w:tr w:rsidR="00F95373" w:rsidRPr="007C786F" w14:paraId="0C87C1C0"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589A8"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1EED71"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-$1,115,186,361</w:t>
            </w:r>
          </w:p>
        </w:tc>
      </w:tr>
      <w:tr w:rsidR="00F95373" w:rsidRPr="007C786F" w14:paraId="15585E12"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090FB"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66C9CC"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-$1,161,316,235</w:t>
            </w:r>
          </w:p>
        </w:tc>
      </w:tr>
      <w:tr w:rsidR="00F95373" w:rsidRPr="007C786F" w14:paraId="164F5554"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8C89"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A56638"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-$1,225,352,343</w:t>
            </w:r>
          </w:p>
        </w:tc>
      </w:tr>
      <w:tr w:rsidR="00F95373" w:rsidRPr="007C786F" w14:paraId="4A59A955"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928F7"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F58770"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-$1,273,931,221</w:t>
            </w:r>
          </w:p>
        </w:tc>
      </w:tr>
      <w:tr w:rsidR="00F95373" w:rsidRPr="007C786F" w14:paraId="7B128BF4"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ECF4"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AC4CFE"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-$1,342,554,653</w:t>
            </w:r>
          </w:p>
        </w:tc>
      </w:tr>
      <w:tr w:rsidR="00F95373" w:rsidRPr="007C786F" w14:paraId="1D77F1FC"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00E1F"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A861D"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-$1,394,931,985</w:t>
            </w:r>
          </w:p>
        </w:tc>
      </w:tr>
      <w:tr w:rsidR="00F95373" w:rsidRPr="007C786F" w14:paraId="06FD3D21"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B1628" w14:textId="77777777" w:rsidR="00F95373" w:rsidRPr="00F95373" w:rsidRDefault="00F95373" w:rsidP="00F95373">
            <w:pPr>
              <w:rPr>
                <w:rFonts w:asciiTheme="minorHAnsi" w:hAnsiTheme="minorHAnsi" w:cstheme="minorHAnsi"/>
                <w:color w:val="000000"/>
                <w:szCs w:val="22"/>
              </w:rPr>
            </w:pPr>
            <w:r w:rsidRPr="00F95373">
              <w:rPr>
                <w:rFonts w:asciiTheme="minorHAnsi" w:hAnsiTheme="minorHAnsi" w:cstheme="minorHAnsi"/>
                <w:color w:val="000000"/>
                <w:szCs w:val="22"/>
              </w:rPr>
              <w:t>2030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DDCC8D" w14:textId="77777777" w:rsidR="00F95373" w:rsidRPr="00F95373" w:rsidRDefault="00F95373" w:rsidP="00F95373">
            <w:pPr>
              <w:ind w:right="234"/>
              <w:jc w:val="right"/>
              <w:rPr>
                <w:rFonts w:asciiTheme="minorHAnsi" w:hAnsiTheme="minorHAnsi" w:cstheme="minorHAnsi"/>
                <w:color w:val="000000"/>
                <w:szCs w:val="22"/>
              </w:rPr>
            </w:pPr>
            <w:r w:rsidRPr="00F95373">
              <w:rPr>
                <w:rFonts w:asciiTheme="minorHAnsi" w:hAnsiTheme="minorHAnsi" w:cstheme="minorHAnsi"/>
                <w:szCs w:val="22"/>
              </w:rPr>
              <w:t>-$1,449,139,655</w:t>
            </w:r>
          </w:p>
        </w:tc>
      </w:tr>
      <w:tr w:rsidR="00F95373" w:rsidRPr="007C786F" w14:paraId="6F08BFCE" w14:textId="77777777" w:rsidTr="000C33D9">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D0DD" w14:textId="77777777" w:rsidR="00F95373" w:rsidRPr="00F95373" w:rsidRDefault="00F95373" w:rsidP="00F95373">
            <w:pPr>
              <w:rPr>
                <w:rFonts w:asciiTheme="minorHAnsi" w:hAnsiTheme="minorHAnsi" w:cstheme="minorHAnsi"/>
                <w:b/>
                <w:bCs/>
                <w:color w:val="000000"/>
                <w:szCs w:val="22"/>
              </w:rPr>
            </w:pPr>
            <w:r w:rsidRPr="00F95373">
              <w:rPr>
                <w:rFonts w:asciiTheme="minorHAnsi" w:hAnsiTheme="minorHAnsi" w:cstheme="minorHAnsi"/>
                <w:b/>
                <w:bCs/>
                <w:color w:val="000000"/>
                <w:szCs w:val="22"/>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3F78C5" w14:textId="77777777" w:rsidR="00F95373" w:rsidRPr="00F95373" w:rsidRDefault="00F95373" w:rsidP="00F95373">
            <w:pPr>
              <w:ind w:right="234"/>
              <w:jc w:val="right"/>
              <w:rPr>
                <w:rFonts w:asciiTheme="minorHAnsi" w:hAnsiTheme="minorHAnsi" w:cstheme="minorHAnsi"/>
                <w:b/>
                <w:bCs/>
                <w:color w:val="000000"/>
                <w:szCs w:val="22"/>
              </w:rPr>
            </w:pPr>
            <w:r w:rsidRPr="00F95373">
              <w:rPr>
                <w:rFonts w:asciiTheme="minorHAnsi" w:hAnsiTheme="minorHAnsi" w:cstheme="minorHAnsi"/>
                <w:b/>
                <w:bCs/>
                <w:szCs w:val="22"/>
              </w:rPr>
              <w:t>-$10,987,251,254</w:t>
            </w:r>
          </w:p>
        </w:tc>
      </w:tr>
    </w:tbl>
    <w:p w14:paraId="3DB3426A" w14:textId="77777777" w:rsidR="00F95373" w:rsidRPr="00F95373" w:rsidRDefault="00F95373" w:rsidP="00F95373">
      <w:pPr>
        <w:jc w:val="center"/>
        <w:rPr>
          <w:rFonts w:asciiTheme="minorHAnsi" w:hAnsiTheme="minorHAnsi" w:cstheme="minorHAnsi"/>
          <w:szCs w:val="22"/>
        </w:rPr>
      </w:pPr>
      <w:r w:rsidRPr="00F95373">
        <w:rPr>
          <w:rFonts w:asciiTheme="minorHAnsi" w:hAnsiTheme="minorHAnsi" w:cstheme="minorHAnsi"/>
          <w:i/>
          <w:iCs/>
          <w:szCs w:val="22"/>
        </w:rPr>
        <w:t xml:space="preserve">Source: Dobson | Davanzo </w:t>
      </w:r>
    </w:p>
    <w:p w14:paraId="388EBF41" w14:textId="77777777" w:rsidR="00DB45A2" w:rsidRDefault="00DB45A2" w:rsidP="00F95373">
      <w:pPr>
        <w:ind w:left="60"/>
        <w:rPr>
          <w:rFonts w:ascii="Times New Roman" w:hAnsi="Times New Roman"/>
        </w:rPr>
      </w:pPr>
    </w:p>
    <w:p w14:paraId="724F9E0A" w14:textId="60ABB7E1" w:rsidR="00E02FC5" w:rsidRDefault="007859C1" w:rsidP="00AB1332">
      <w:pPr>
        <w:ind w:left="60" w:firstLine="660"/>
        <w:rPr>
          <w:rFonts w:ascii="Times New Roman" w:hAnsi="Times New Roman"/>
        </w:rPr>
      </w:pPr>
      <w:r>
        <w:rPr>
          <w:rFonts w:ascii="Times New Roman" w:hAnsi="Times New Roman"/>
        </w:rPr>
        <w:t>While CMS has not and is not lik</w:t>
      </w:r>
      <w:r w:rsidR="00A638C7">
        <w:rPr>
          <w:rFonts w:ascii="Times New Roman" w:hAnsi="Times New Roman"/>
        </w:rPr>
        <w:t>e</w:t>
      </w:r>
      <w:r>
        <w:rPr>
          <w:rFonts w:ascii="Times New Roman" w:hAnsi="Times New Roman"/>
        </w:rPr>
        <w:t>ly</w:t>
      </w:r>
      <w:r w:rsidR="00A638C7">
        <w:rPr>
          <w:rFonts w:ascii="Times New Roman" w:hAnsi="Times New Roman"/>
        </w:rPr>
        <w:t xml:space="preserve"> to correct the error, the impact is nonetheless real for HHAs</w:t>
      </w:r>
      <w:r w:rsidR="00790B72">
        <w:rPr>
          <w:rFonts w:ascii="Times New Roman" w:hAnsi="Times New Roman"/>
        </w:rPr>
        <w:t xml:space="preserve">, creating another destabilizing force within the HHA community. </w:t>
      </w:r>
      <w:r w:rsidR="00F43DEB">
        <w:rPr>
          <w:rFonts w:ascii="Times New Roman" w:hAnsi="Times New Roman"/>
        </w:rPr>
        <w:t xml:space="preserve"> When combined with the proposed rate reduction, </w:t>
      </w:r>
      <w:r w:rsidR="00A40D3D">
        <w:rPr>
          <w:rFonts w:ascii="Times New Roman" w:hAnsi="Times New Roman"/>
        </w:rPr>
        <w:t>the impact of significant swings in wage index values</w:t>
      </w:r>
      <w:r w:rsidR="0020591E">
        <w:rPr>
          <w:rFonts w:ascii="Times New Roman" w:hAnsi="Times New Roman"/>
        </w:rPr>
        <w:t>, and the recalibration of the 4432 case mix weights and resetting of the universe</w:t>
      </w:r>
      <w:r w:rsidR="0051214E">
        <w:rPr>
          <w:rFonts w:ascii="Times New Roman" w:hAnsi="Times New Roman"/>
        </w:rPr>
        <w:t xml:space="preserve"> of </w:t>
      </w:r>
      <w:r w:rsidR="0020591E">
        <w:rPr>
          <w:rFonts w:ascii="Times New Roman" w:hAnsi="Times New Roman"/>
        </w:rPr>
        <w:t>LUPA</w:t>
      </w:r>
      <w:r w:rsidR="0051214E">
        <w:rPr>
          <w:rFonts w:ascii="Times New Roman" w:hAnsi="Times New Roman"/>
        </w:rPr>
        <w:t xml:space="preserve"> thresholds, HHAs face multiple </w:t>
      </w:r>
      <w:r w:rsidR="00863481">
        <w:rPr>
          <w:rFonts w:ascii="Times New Roman" w:hAnsi="Times New Roman"/>
        </w:rPr>
        <w:t>disrup</w:t>
      </w:r>
      <w:r w:rsidR="007D436D">
        <w:rPr>
          <w:rFonts w:ascii="Times New Roman" w:hAnsi="Times New Roman"/>
        </w:rPr>
        <w:t>t</w:t>
      </w:r>
      <w:r w:rsidR="00863481">
        <w:rPr>
          <w:rFonts w:ascii="Times New Roman" w:hAnsi="Times New Roman"/>
        </w:rPr>
        <w:t>ions in operations that will affect patient access to care and the level of services avail</w:t>
      </w:r>
      <w:r w:rsidR="007D436D">
        <w:rPr>
          <w:rFonts w:ascii="Times New Roman" w:hAnsi="Times New Roman"/>
        </w:rPr>
        <w:t>a</w:t>
      </w:r>
      <w:r w:rsidR="00863481">
        <w:rPr>
          <w:rFonts w:ascii="Times New Roman" w:hAnsi="Times New Roman"/>
        </w:rPr>
        <w:t>ble.</w:t>
      </w:r>
      <w:r w:rsidR="007D436D">
        <w:rPr>
          <w:rFonts w:ascii="Times New Roman" w:hAnsi="Times New Roman"/>
        </w:rPr>
        <w:t xml:space="preserve"> The impact is not conjecture. Instead, it is a prognosis based on</w:t>
      </w:r>
      <w:r w:rsidR="00475A1B">
        <w:rPr>
          <w:rFonts w:ascii="Times New Roman" w:hAnsi="Times New Roman"/>
        </w:rPr>
        <w:t xml:space="preserve"> over a decade of experiences since 2011. </w:t>
      </w:r>
      <w:r w:rsidR="007D436D">
        <w:rPr>
          <w:rFonts w:ascii="Times New Roman" w:hAnsi="Times New Roman"/>
        </w:rPr>
        <w:t xml:space="preserve"> </w:t>
      </w:r>
      <w:r w:rsidR="00863481">
        <w:rPr>
          <w:rFonts w:ascii="Times New Roman" w:hAnsi="Times New Roman"/>
        </w:rPr>
        <w:t xml:space="preserve">  </w:t>
      </w:r>
      <w:r w:rsidR="0051214E">
        <w:rPr>
          <w:rFonts w:ascii="Times New Roman" w:hAnsi="Times New Roman"/>
        </w:rPr>
        <w:t xml:space="preserve"> </w:t>
      </w:r>
    </w:p>
    <w:p w14:paraId="7E912A36" w14:textId="77777777" w:rsidR="00E02FC5" w:rsidRDefault="00E02FC5" w:rsidP="00F95373">
      <w:pPr>
        <w:ind w:left="60"/>
        <w:rPr>
          <w:rFonts w:ascii="Times New Roman" w:hAnsi="Times New Roman"/>
        </w:rPr>
      </w:pPr>
    </w:p>
    <w:p w14:paraId="146D3D7F" w14:textId="77777777" w:rsidR="00B304CD" w:rsidRDefault="00B304CD" w:rsidP="00B304CD">
      <w:pPr>
        <w:ind w:left="720" w:firstLine="660"/>
        <w:rPr>
          <w:rFonts w:ascii="Times New Roman" w:hAnsi="Times New Roman"/>
          <w:b/>
          <w:bCs/>
        </w:rPr>
      </w:pPr>
    </w:p>
    <w:p w14:paraId="5EF60FCD" w14:textId="77777777" w:rsidR="00B304CD" w:rsidRDefault="00B304CD" w:rsidP="00B304CD">
      <w:pPr>
        <w:ind w:left="720" w:firstLine="660"/>
        <w:rPr>
          <w:rFonts w:ascii="Times New Roman" w:hAnsi="Times New Roman"/>
          <w:b/>
          <w:bCs/>
        </w:rPr>
      </w:pPr>
    </w:p>
    <w:p w14:paraId="5D19A5FF" w14:textId="77777777" w:rsidR="00B304CD" w:rsidRDefault="00B304CD" w:rsidP="00B304CD">
      <w:pPr>
        <w:ind w:left="720" w:firstLine="660"/>
        <w:rPr>
          <w:rFonts w:ascii="Times New Roman" w:hAnsi="Times New Roman"/>
          <w:b/>
          <w:bCs/>
        </w:rPr>
      </w:pPr>
    </w:p>
    <w:p w14:paraId="2420997B" w14:textId="20C9143A" w:rsidR="00B304CD" w:rsidRDefault="00E02FC5" w:rsidP="00B304CD">
      <w:pPr>
        <w:ind w:left="720" w:firstLine="660"/>
        <w:rPr>
          <w:rFonts w:ascii="Times New Roman" w:hAnsi="Times New Roman"/>
          <w:b/>
          <w:bCs/>
        </w:rPr>
      </w:pPr>
      <w:r>
        <w:rPr>
          <w:rFonts w:ascii="Times New Roman" w:hAnsi="Times New Roman"/>
          <w:b/>
          <w:bCs/>
        </w:rPr>
        <w:t>Significant Shifts in Wage Index Values Add to the Destabilization</w:t>
      </w:r>
    </w:p>
    <w:p w14:paraId="5C193DCB" w14:textId="3CB919D3" w:rsidR="00810253" w:rsidRDefault="00E02FC5" w:rsidP="00B304CD">
      <w:pPr>
        <w:ind w:left="2160" w:firstLine="720"/>
        <w:rPr>
          <w:rFonts w:ascii="Times New Roman" w:hAnsi="Times New Roman"/>
        </w:rPr>
      </w:pPr>
      <w:r>
        <w:rPr>
          <w:rFonts w:ascii="Times New Roman" w:hAnsi="Times New Roman"/>
          <w:b/>
          <w:bCs/>
        </w:rPr>
        <w:t xml:space="preserve"> of the Home Hea</w:t>
      </w:r>
      <w:r w:rsidR="00B304CD">
        <w:rPr>
          <w:rFonts w:ascii="Times New Roman" w:hAnsi="Times New Roman"/>
          <w:b/>
          <w:bCs/>
        </w:rPr>
        <w:t>lth Benefit</w:t>
      </w:r>
      <w:r w:rsidR="00C17FDB">
        <w:rPr>
          <w:rFonts w:ascii="Times New Roman" w:hAnsi="Times New Roman"/>
        </w:rPr>
        <w:t xml:space="preserve"> </w:t>
      </w:r>
      <w:r w:rsidR="00DB45A2">
        <w:rPr>
          <w:rFonts w:ascii="Times New Roman" w:hAnsi="Times New Roman"/>
        </w:rPr>
        <w:t xml:space="preserve"> </w:t>
      </w:r>
    </w:p>
    <w:p w14:paraId="13C73892" w14:textId="77777777" w:rsidR="00682112" w:rsidRDefault="00682112" w:rsidP="00B304CD">
      <w:pPr>
        <w:ind w:left="2160" w:firstLine="720"/>
        <w:rPr>
          <w:rFonts w:ascii="Times New Roman" w:hAnsi="Times New Roman"/>
        </w:rPr>
      </w:pPr>
    </w:p>
    <w:p w14:paraId="7BE452B4" w14:textId="77777777" w:rsidR="00682112" w:rsidRDefault="00682112" w:rsidP="00B304CD">
      <w:pPr>
        <w:ind w:left="2160" w:firstLine="720"/>
        <w:rPr>
          <w:rFonts w:ascii="Times New Roman" w:hAnsi="Times New Roman"/>
        </w:rPr>
      </w:pPr>
    </w:p>
    <w:p w14:paraId="6B0E7552" w14:textId="63A5DEFA" w:rsidR="00BB7EC6" w:rsidRDefault="006F6795" w:rsidP="00AB1332">
      <w:pPr>
        <w:ind w:firstLine="720"/>
        <w:rPr>
          <w:rFonts w:ascii="Times New Roman" w:hAnsi="Times New Roman"/>
        </w:rPr>
      </w:pPr>
      <w:r>
        <w:rPr>
          <w:rFonts w:ascii="Times New Roman" w:hAnsi="Times New Roman"/>
        </w:rPr>
        <w:t xml:space="preserve">Once again, the changes in wage index values significantly contribute to the instability on access to the home health benefit. </w:t>
      </w:r>
      <w:r w:rsidR="007768FE">
        <w:rPr>
          <w:rFonts w:ascii="Times New Roman" w:hAnsi="Times New Roman"/>
        </w:rPr>
        <w:t>As CMS well knows, HHAs are relegated to the pre-rural floor, pre-</w:t>
      </w:r>
      <w:r w:rsidR="007768FE">
        <w:rPr>
          <w:rFonts w:ascii="Times New Roman" w:hAnsi="Times New Roman"/>
        </w:rPr>
        <w:lastRenderedPageBreak/>
        <w:t>geographic recl</w:t>
      </w:r>
      <w:r w:rsidR="005F08D5">
        <w:rPr>
          <w:rFonts w:ascii="Times New Roman" w:hAnsi="Times New Roman"/>
        </w:rPr>
        <w:t>a</w:t>
      </w:r>
      <w:r w:rsidR="007768FE">
        <w:rPr>
          <w:rFonts w:ascii="Times New Roman" w:hAnsi="Times New Roman"/>
        </w:rPr>
        <w:t>ssification</w:t>
      </w:r>
      <w:r w:rsidR="005F08D5">
        <w:rPr>
          <w:rFonts w:ascii="Times New Roman" w:hAnsi="Times New Roman"/>
        </w:rPr>
        <w:t xml:space="preserve"> inpatient hospital wage index </w:t>
      </w:r>
      <w:r w:rsidR="003769C4">
        <w:rPr>
          <w:rFonts w:ascii="Times New Roman" w:hAnsi="Times New Roman"/>
        </w:rPr>
        <w:t>while</w:t>
      </w:r>
      <w:r w:rsidR="005F08D5">
        <w:rPr>
          <w:rFonts w:ascii="Times New Roman" w:hAnsi="Times New Roman"/>
        </w:rPr>
        <w:t xml:space="preserve"> </w:t>
      </w:r>
      <w:r w:rsidR="00E2709D">
        <w:rPr>
          <w:rFonts w:ascii="Times New Roman" w:hAnsi="Times New Roman"/>
        </w:rPr>
        <w:t>HHAs</w:t>
      </w:r>
      <w:r w:rsidR="005F08D5">
        <w:rPr>
          <w:rFonts w:ascii="Times New Roman" w:hAnsi="Times New Roman"/>
        </w:rPr>
        <w:t xml:space="preserve"> compete with hospitals </w:t>
      </w:r>
      <w:r w:rsidR="003769C4">
        <w:rPr>
          <w:rFonts w:ascii="Times New Roman" w:hAnsi="Times New Roman"/>
        </w:rPr>
        <w:t xml:space="preserve">that are subject to a </w:t>
      </w:r>
      <w:r w:rsidR="0090757A">
        <w:rPr>
          <w:rFonts w:ascii="Times New Roman" w:hAnsi="Times New Roman"/>
        </w:rPr>
        <w:t>different</w:t>
      </w:r>
      <w:r w:rsidR="003769C4">
        <w:rPr>
          <w:rFonts w:ascii="Times New Roman" w:hAnsi="Times New Roman"/>
        </w:rPr>
        <w:t xml:space="preserve"> wage index</w:t>
      </w:r>
      <w:r w:rsidR="003D3FC5">
        <w:rPr>
          <w:rFonts w:ascii="Times New Roman" w:hAnsi="Times New Roman"/>
        </w:rPr>
        <w:t xml:space="preserve"> </w:t>
      </w:r>
      <w:r w:rsidR="005F08D5">
        <w:rPr>
          <w:rFonts w:ascii="Times New Roman" w:hAnsi="Times New Roman"/>
        </w:rPr>
        <w:t xml:space="preserve">for </w:t>
      </w:r>
      <w:r w:rsidR="003D3FC5">
        <w:rPr>
          <w:rFonts w:ascii="Times New Roman" w:hAnsi="Times New Roman"/>
        </w:rPr>
        <w:t xml:space="preserve">the same clinical and administrative </w:t>
      </w:r>
      <w:r w:rsidR="005F08D5">
        <w:rPr>
          <w:rFonts w:ascii="Times New Roman" w:hAnsi="Times New Roman"/>
        </w:rPr>
        <w:t xml:space="preserve">staff. For 2024, CMS </w:t>
      </w:r>
      <w:r w:rsidR="00FC2E29">
        <w:rPr>
          <w:rFonts w:ascii="Times New Roman" w:hAnsi="Times New Roman"/>
        </w:rPr>
        <w:t>implemented</w:t>
      </w:r>
      <w:r w:rsidR="00AE24A6">
        <w:rPr>
          <w:rFonts w:ascii="Times New Roman" w:hAnsi="Times New Roman"/>
        </w:rPr>
        <w:t xml:space="preserve"> a recalibr</w:t>
      </w:r>
      <w:r w:rsidR="00F766EC">
        <w:rPr>
          <w:rFonts w:ascii="Times New Roman" w:hAnsi="Times New Roman"/>
        </w:rPr>
        <w:t>a</w:t>
      </w:r>
      <w:r w:rsidR="00AE24A6">
        <w:rPr>
          <w:rFonts w:ascii="Times New Roman" w:hAnsi="Times New Roman"/>
        </w:rPr>
        <w:t xml:space="preserve">tion of the assigned wage index values, but also a resetting of the </w:t>
      </w:r>
      <w:r w:rsidR="00F766EC">
        <w:rPr>
          <w:rFonts w:ascii="Times New Roman" w:hAnsi="Times New Roman"/>
        </w:rPr>
        <w:t xml:space="preserve">labor percentage of payment rates affected by the wage index. </w:t>
      </w:r>
      <w:r w:rsidR="00FC2E29">
        <w:rPr>
          <w:rFonts w:ascii="Times New Roman" w:hAnsi="Times New Roman"/>
        </w:rPr>
        <w:t>For 2025, in addition to the usual swings in the wage index for HHAs</w:t>
      </w:r>
      <w:r w:rsidR="00D003F1">
        <w:rPr>
          <w:rFonts w:ascii="Times New Roman" w:hAnsi="Times New Roman"/>
        </w:rPr>
        <w:t>, CMS proposes to modify the county-level desi</w:t>
      </w:r>
      <w:r w:rsidR="000C0C76">
        <w:rPr>
          <w:rFonts w:ascii="Times New Roman" w:hAnsi="Times New Roman"/>
        </w:rPr>
        <w:t>g</w:t>
      </w:r>
      <w:r w:rsidR="00D003F1">
        <w:rPr>
          <w:rFonts w:ascii="Times New Roman" w:hAnsi="Times New Roman"/>
        </w:rPr>
        <w:t>nations in CBSAs an</w:t>
      </w:r>
      <w:r w:rsidR="000C0C76">
        <w:rPr>
          <w:rFonts w:ascii="Times New Roman" w:hAnsi="Times New Roman"/>
        </w:rPr>
        <w:t>d</w:t>
      </w:r>
      <w:r w:rsidR="00D003F1">
        <w:rPr>
          <w:rFonts w:ascii="Times New Roman" w:hAnsi="Times New Roman"/>
        </w:rPr>
        <w:t xml:space="preserve"> rural areas</w:t>
      </w:r>
      <w:r w:rsidR="000C0C76">
        <w:rPr>
          <w:rFonts w:ascii="Times New Roman" w:hAnsi="Times New Roman"/>
        </w:rPr>
        <w:t>. Since the home health NPRM was issued, CMS finalized these changes for other health care sectors operating on a federal fiscal year basis.</w:t>
      </w:r>
      <w:r w:rsidR="00413469">
        <w:rPr>
          <w:rFonts w:ascii="Times New Roman" w:hAnsi="Times New Roman"/>
        </w:rPr>
        <w:t xml:space="preserve"> As such, the disruptive effect of the proposed wage index changes for home health can</w:t>
      </w:r>
      <w:r w:rsidR="00766C7A">
        <w:rPr>
          <w:rFonts w:ascii="Times New Roman" w:hAnsi="Times New Roman"/>
        </w:rPr>
        <w:t xml:space="preserve"> reasonably be presumed to </w:t>
      </w:r>
      <w:r w:rsidR="00413469">
        <w:rPr>
          <w:rFonts w:ascii="Times New Roman" w:hAnsi="Times New Roman"/>
        </w:rPr>
        <w:t>b</w:t>
      </w:r>
      <w:r w:rsidR="00766C7A">
        <w:rPr>
          <w:rFonts w:ascii="Times New Roman" w:hAnsi="Times New Roman"/>
        </w:rPr>
        <w:t xml:space="preserve">e the reality for 2025 in home health services. </w:t>
      </w:r>
      <w:r w:rsidR="00F30B36">
        <w:rPr>
          <w:rFonts w:ascii="Times New Roman" w:hAnsi="Times New Roman"/>
        </w:rPr>
        <w:t xml:space="preserve">These changes </w:t>
      </w:r>
      <w:r w:rsidR="00BB7EC6">
        <w:rPr>
          <w:rFonts w:ascii="Times New Roman" w:hAnsi="Times New Roman"/>
        </w:rPr>
        <w:t>add to the complications wrought by the proposed rate reduction and other payment-affecting proposals.</w:t>
      </w:r>
    </w:p>
    <w:p w14:paraId="36D707EB" w14:textId="77777777" w:rsidR="00BB7EC6" w:rsidRDefault="00BB7EC6" w:rsidP="00682112">
      <w:pPr>
        <w:rPr>
          <w:rFonts w:ascii="Times New Roman" w:hAnsi="Times New Roman"/>
        </w:rPr>
      </w:pPr>
    </w:p>
    <w:p w14:paraId="2C4A6499" w14:textId="605C2A6D" w:rsidR="00A36E93" w:rsidRDefault="00D90D62" w:rsidP="00AB1332">
      <w:pPr>
        <w:ind w:firstLine="720"/>
        <w:rPr>
          <w:rFonts w:ascii="Times New Roman" w:hAnsi="Times New Roman"/>
        </w:rPr>
      </w:pPr>
      <w:r>
        <w:rPr>
          <w:rFonts w:ascii="Times New Roman" w:hAnsi="Times New Roman"/>
        </w:rPr>
        <w:t>T</w:t>
      </w:r>
      <w:r w:rsidR="00156C7E">
        <w:rPr>
          <w:rFonts w:ascii="Times New Roman" w:hAnsi="Times New Roman"/>
        </w:rPr>
        <w:t xml:space="preserve">he </w:t>
      </w:r>
      <w:r>
        <w:rPr>
          <w:rFonts w:ascii="Times New Roman" w:hAnsi="Times New Roman"/>
        </w:rPr>
        <w:t>ALLIANCE</w:t>
      </w:r>
      <w:r w:rsidR="00BB7EC6">
        <w:rPr>
          <w:rFonts w:ascii="Times New Roman" w:hAnsi="Times New Roman"/>
        </w:rPr>
        <w:t xml:space="preserve"> </w:t>
      </w:r>
      <w:r w:rsidR="00156C7E">
        <w:rPr>
          <w:rFonts w:ascii="Times New Roman" w:hAnsi="Times New Roman"/>
        </w:rPr>
        <w:t xml:space="preserve">compared the current 2024 wage index values with the proposed values </w:t>
      </w:r>
      <w:r w:rsidR="0088162D">
        <w:rPr>
          <w:rFonts w:ascii="Times New Roman" w:hAnsi="Times New Roman"/>
        </w:rPr>
        <w:t>post-5% cap</w:t>
      </w:r>
      <w:r w:rsidR="009D05E8">
        <w:rPr>
          <w:rFonts w:ascii="Times New Roman" w:hAnsi="Times New Roman"/>
        </w:rPr>
        <w:t xml:space="preserve">, See, Appendix A attached). </w:t>
      </w:r>
      <w:r w:rsidR="0088162D">
        <w:rPr>
          <w:rFonts w:ascii="Times New Roman" w:hAnsi="Times New Roman"/>
        </w:rPr>
        <w:t xml:space="preserve">   </w:t>
      </w:r>
    </w:p>
    <w:p w14:paraId="1122BB1B" w14:textId="77777777" w:rsidR="00A36E93" w:rsidRDefault="00A36E93" w:rsidP="00682112">
      <w:pPr>
        <w:rPr>
          <w:rFonts w:ascii="Times New Roman" w:hAnsi="Times New Roman"/>
        </w:rPr>
      </w:pPr>
    </w:p>
    <w:p w14:paraId="0AD87C34" w14:textId="77777777" w:rsidR="0077773F" w:rsidRDefault="0077773F" w:rsidP="00682112">
      <w:pPr>
        <w:rPr>
          <w:rFonts w:ascii="Times New Roman" w:hAnsi="Times New Roman"/>
        </w:rPr>
      </w:pPr>
    </w:p>
    <w:p w14:paraId="01B79790" w14:textId="5B01B1DE" w:rsidR="00C32627" w:rsidRDefault="00C32627" w:rsidP="00C32627">
      <w:pPr>
        <w:jc w:val="center"/>
        <w:rPr>
          <w:rFonts w:asciiTheme="minorHAnsi" w:hAnsiTheme="minorHAnsi" w:cstheme="minorHAnsi"/>
          <w:b/>
          <w:bCs/>
          <w:szCs w:val="22"/>
        </w:rPr>
      </w:pPr>
      <w:r w:rsidRPr="007C786F">
        <w:rPr>
          <w:rFonts w:asciiTheme="minorHAnsi" w:hAnsiTheme="minorHAnsi" w:cstheme="minorHAnsi"/>
          <w:b/>
          <w:bCs/>
          <w:szCs w:val="22"/>
        </w:rPr>
        <w:t>Home Health Providers Significantly Impacted by Wage Index Change in CY 202</w:t>
      </w:r>
      <w:r w:rsidR="00B66CE2">
        <w:rPr>
          <w:rFonts w:asciiTheme="minorHAnsi" w:hAnsiTheme="minorHAnsi" w:cstheme="minorHAnsi"/>
          <w:b/>
          <w:bCs/>
          <w:szCs w:val="22"/>
        </w:rPr>
        <w:t>5</w:t>
      </w:r>
    </w:p>
    <w:p w14:paraId="3C6129AF" w14:textId="77777777" w:rsidR="009B19BC" w:rsidRPr="007C786F" w:rsidRDefault="009B19BC" w:rsidP="00C32627">
      <w:pPr>
        <w:jc w:val="center"/>
        <w:rPr>
          <w:rFonts w:asciiTheme="minorHAnsi" w:hAnsiTheme="minorHAnsi" w:cstheme="minorHAnsi"/>
          <w:b/>
          <w:bCs/>
          <w:szCs w:val="22"/>
        </w:rPr>
      </w:pPr>
    </w:p>
    <w:tbl>
      <w:tblPr>
        <w:tblStyle w:val="TableGrid"/>
        <w:tblW w:w="0" w:type="auto"/>
        <w:tblLook w:val="04A0" w:firstRow="1" w:lastRow="0" w:firstColumn="1" w:lastColumn="0" w:noHBand="0" w:noVBand="1"/>
      </w:tblPr>
      <w:tblGrid>
        <w:gridCol w:w="6025"/>
        <w:gridCol w:w="1440"/>
      </w:tblGrid>
      <w:tr w:rsidR="009B19BC" w:rsidRPr="007C786F" w14:paraId="53FE98AE" w14:textId="77777777" w:rsidTr="009B19BC">
        <w:trPr>
          <w:trHeight w:val="89"/>
        </w:trPr>
        <w:tc>
          <w:tcPr>
            <w:tcW w:w="6025" w:type="dxa"/>
            <w:shd w:val="clear" w:color="auto" w:fill="ACB9CA" w:themeFill="text2" w:themeFillTint="66"/>
          </w:tcPr>
          <w:p w14:paraId="7B3E1393" w14:textId="77777777" w:rsidR="009B19BC" w:rsidRPr="007C786F" w:rsidRDefault="009B19BC" w:rsidP="000C33D9">
            <w:pPr>
              <w:jc w:val="center"/>
              <w:rPr>
                <w:rFonts w:asciiTheme="minorHAnsi" w:hAnsiTheme="minorHAnsi" w:cstheme="minorHAnsi"/>
                <w:b/>
                <w:bCs/>
                <w:szCs w:val="22"/>
              </w:rPr>
            </w:pPr>
            <w:r w:rsidRPr="007C786F">
              <w:rPr>
                <w:rFonts w:asciiTheme="minorHAnsi" w:hAnsiTheme="minorHAnsi" w:cstheme="minorHAnsi"/>
                <w:b/>
                <w:bCs/>
                <w:szCs w:val="22"/>
              </w:rPr>
              <w:t>Count</w:t>
            </w:r>
          </w:p>
        </w:tc>
        <w:tc>
          <w:tcPr>
            <w:tcW w:w="1440" w:type="dxa"/>
            <w:shd w:val="clear" w:color="auto" w:fill="ACB9CA" w:themeFill="text2" w:themeFillTint="66"/>
          </w:tcPr>
          <w:p w14:paraId="1781EB50" w14:textId="77777777" w:rsidR="009B19BC" w:rsidRPr="007C786F" w:rsidRDefault="009B19BC" w:rsidP="000C33D9">
            <w:pPr>
              <w:jc w:val="center"/>
              <w:rPr>
                <w:rFonts w:asciiTheme="minorHAnsi" w:hAnsiTheme="minorHAnsi" w:cstheme="minorHAnsi"/>
                <w:b/>
                <w:bCs/>
                <w:szCs w:val="22"/>
              </w:rPr>
            </w:pPr>
            <w:r w:rsidRPr="007C786F">
              <w:rPr>
                <w:rFonts w:asciiTheme="minorHAnsi" w:hAnsiTheme="minorHAnsi" w:cstheme="minorHAnsi"/>
                <w:b/>
                <w:bCs/>
                <w:szCs w:val="22"/>
              </w:rPr>
              <w:t>Number</w:t>
            </w:r>
          </w:p>
        </w:tc>
      </w:tr>
      <w:tr w:rsidR="009B19BC" w:rsidRPr="007C786F" w14:paraId="2EF97ADD" w14:textId="77777777" w:rsidTr="000C33D9">
        <w:tc>
          <w:tcPr>
            <w:tcW w:w="6025" w:type="dxa"/>
          </w:tcPr>
          <w:p w14:paraId="69343023" w14:textId="4D300024" w:rsidR="009B19BC" w:rsidRPr="007C786F" w:rsidRDefault="009B19BC" w:rsidP="000C33D9">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0.02</w:t>
            </w:r>
          </w:p>
        </w:tc>
        <w:tc>
          <w:tcPr>
            <w:tcW w:w="1440" w:type="dxa"/>
          </w:tcPr>
          <w:p w14:paraId="1227A242" w14:textId="42078E03" w:rsidR="009B19BC" w:rsidRPr="007C786F" w:rsidRDefault="009B19BC" w:rsidP="000C33D9">
            <w:pPr>
              <w:jc w:val="center"/>
              <w:rPr>
                <w:rFonts w:asciiTheme="minorHAnsi" w:hAnsiTheme="minorHAnsi" w:cstheme="minorHAnsi"/>
                <w:szCs w:val="22"/>
              </w:rPr>
            </w:pPr>
            <w:r>
              <w:rPr>
                <w:rFonts w:asciiTheme="minorHAnsi" w:hAnsiTheme="minorHAnsi" w:cstheme="minorHAnsi"/>
                <w:szCs w:val="22"/>
              </w:rPr>
              <w:t>597</w:t>
            </w:r>
          </w:p>
        </w:tc>
      </w:tr>
      <w:tr w:rsidR="009B19BC" w:rsidRPr="007C786F" w14:paraId="13363318" w14:textId="77777777" w:rsidTr="000C33D9">
        <w:tc>
          <w:tcPr>
            <w:tcW w:w="6025" w:type="dxa"/>
          </w:tcPr>
          <w:p w14:paraId="33EB4BEC" w14:textId="6E8CCC8F"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0.03</w:t>
            </w:r>
          </w:p>
        </w:tc>
        <w:tc>
          <w:tcPr>
            <w:tcW w:w="1440" w:type="dxa"/>
          </w:tcPr>
          <w:p w14:paraId="64CC7C31" w14:textId="77D45B32"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370</w:t>
            </w:r>
          </w:p>
        </w:tc>
      </w:tr>
      <w:tr w:rsidR="009B19BC" w:rsidRPr="007C786F" w14:paraId="7195582F" w14:textId="77777777" w:rsidTr="000C33D9">
        <w:tc>
          <w:tcPr>
            <w:tcW w:w="6025" w:type="dxa"/>
          </w:tcPr>
          <w:p w14:paraId="2152E3AE" w14:textId="05F40D36"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0.04</w:t>
            </w:r>
          </w:p>
        </w:tc>
        <w:tc>
          <w:tcPr>
            <w:tcW w:w="1440" w:type="dxa"/>
          </w:tcPr>
          <w:p w14:paraId="03F55A63" w14:textId="7201870D"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246</w:t>
            </w:r>
          </w:p>
        </w:tc>
      </w:tr>
      <w:tr w:rsidR="009B19BC" w:rsidRPr="007C786F" w14:paraId="69240A76" w14:textId="77777777" w:rsidTr="000C33D9">
        <w:tc>
          <w:tcPr>
            <w:tcW w:w="6025" w:type="dxa"/>
          </w:tcPr>
          <w:p w14:paraId="717C3E24" w14:textId="165EAE3A" w:rsidR="009B19BC"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0.05</w:t>
            </w:r>
          </w:p>
        </w:tc>
        <w:tc>
          <w:tcPr>
            <w:tcW w:w="1440" w:type="dxa"/>
          </w:tcPr>
          <w:p w14:paraId="4668E9C8" w14:textId="01B09E25"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71</w:t>
            </w:r>
          </w:p>
        </w:tc>
      </w:tr>
      <w:tr w:rsidR="009B19BC" w:rsidRPr="007C786F" w14:paraId="4054E31F" w14:textId="77777777" w:rsidTr="000C33D9">
        <w:tc>
          <w:tcPr>
            <w:tcW w:w="6025" w:type="dxa"/>
          </w:tcPr>
          <w:p w14:paraId="126BC219" w14:textId="6AC79948" w:rsidR="009B19BC"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0.06</w:t>
            </w:r>
          </w:p>
        </w:tc>
        <w:tc>
          <w:tcPr>
            <w:tcW w:w="1440" w:type="dxa"/>
          </w:tcPr>
          <w:p w14:paraId="4B01F001" w14:textId="414AF20E"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27</w:t>
            </w:r>
          </w:p>
        </w:tc>
      </w:tr>
      <w:tr w:rsidR="009B19BC" w:rsidRPr="007C786F" w14:paraId="50677C5E" w14:textId="77777777" w:rsidTr="000C33D9">
        <w:tc>
          <w:tcPr>
            <w:tcW w:w="6025" w:type="dxa"/>
          </w:tcPr>
          <w:p w14:paraId="073CD952" w14:textId="153087D5" w:rsidR="009B19BC"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0.07</w:t>
            </w:r>
          </w:p>
        </w:tc>
        <w:tc>
          <w:tcPr>
            <w:tcW w:w="1440" w:type="dxa"/>
          </w:tcPr>
          <w:p w14:paraId="4469C899" w14:textId="7334C818"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9</w:t>
            </w:r>
          </w:p>
        </w:tc>
      </w:tr>
      <w:tr w:rsidR="009B19BC" w:rsidRPr="007C786F" w14:paraId="773D52FB" w14:textId="77777777" w:rsidTr="000C33D9">
        <w:tc>
          <w:tcPr>
            <w:tcW w:w="6025" w:type="dxa"/>
          </w:tcPr>
          <w:p w14:paraId="3CDEFCF7" w14:textId="4D873B18" w:rsidR="009B19BC"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0.08</w:t>
            </w:r>
          </w:p>
        </w:tc>
        <w:tc>
          <w:tcPr>
            <w:tcW w:w="1440" w:type="dxa"/>
          </w:tcPr>
          <w:p w14:paraId="519B5CE8" w14:textId="7A7E333C"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5</w:t>
            </w:r>
          </w:p>
        </w:tc>
      </w:tr>
      <w:tr w:rsidR="009B19BC" w:rsidRPr="007C786F" w14:paraId="72E9AC86" w14:textId="77777777" w:rsidTr="000C33D9">
        <w:tc>
          <w:tcPr>
            <w:tcW w:w="6025" w:type="dxa"/>
          </w:tcPr>
          <w:p w14:paraId="10570D2E" w14:textId="024A7342" w:rsidR="009B19BC" w:rsidRDefault="009B19BC" w:rsidP="00B66CE2">
            <w:pPr>
              <w:jc w:val="center"/>
              <w:rPr>
                <w:rFonts w:asciiTheme="minorHAnsi" w:hAnsiTheme="minorHAnsi" w:cstheme="minorHAnsi"/>
                <w:szCs w:val="22"/>
              </w:rPr>
            </w:pPr>
            <w:r>
              <w:rPr>
                <w:rFonts w:asciiTheme="minorHAnsi" w:hAnsiTheme="minorHAnsi" w:cstheme="minorHAnsi"/>
                <w:szCs w:val="22"/>
              </w:rPr>
              <w:t>Counties with wage index value change</w:t>
            </w:r>
            <w:r w:rsidRPr="007C786F">
              <w:rPr>
                <w:rFonts w:asciiTheme="minorHAnsi" w:hAnsiTheme="minorHAnsi" w:cstheme="minorHAnsi"/>
                <w:szCs w:val="22"/>
              </w:rPr>
              <w:t xml:space="preserve"> &gt;/= -</w:t>
            </w:r>
            <w:r>
              <w:rPr>
                <w:rFonts w:asciiTheme="minorHAnsi" w:hAnsiTheme="minorHAnsi" w:cstheme="minorHAnsi"/>
                <w:szCs w:val="22"/>
              </w:rPr>
              <w:t>0.09</w:t>
            </w:r>
          </w:p>
        </w:tc>
        <w:tc>
          <w:tcPr>
            <w:tcW w:w="1440" w:type="dxa"/>
          </w:tcPr>
          <w:p w14:paraId="76A14C77" w14:textId="568082FA" w:rsidR="009B19BC" w:rsidRPr="007C786F" w:rsidRDefault="009B19BC" w:rsidP="00B66CE2">
            <w:pPr>
              <w:jc w:val="center"/>
              <w:rPr>
                <w:rFonts w:asciiTheme="minorHAnsi" w:hAnsiTheme="minorHAnsi" w:cstheme="minorHAnsi"/>
                <w:szCs w:val="22"/>
              </w:rPr>
            </w:pPr>
            <w:r>
              <w:rPr>
                <w:rFonts w:asciiTheme="minorHAnsi" w:hAnsiTheme="minorHAnsi" w:cstheme="minorHAnsi"/>
                <w:szCs w:val="22"/>
              </w:rPr>
              <w:t>2</w:t>
            </w:r>
          </w:p>
        </w:tc>
      </w:tr>
    </w:tbl>
    <w:p w14:paraId="0964EDB3" w14:textId="0B6A0FB0" w:rsidR="00C32627" w:rsidRDefault="00C32627" w:rsidP="00C32627">
      <w:pPr>
        <w:rPr>
          <w:rFonts w:asciiTheme="minorHAnsi" w:hAnsiTheme="minorHAnsi" w:cstheme="minorHAnsi"/>
          <w:szCs w:val="22"/>
        </w:rPr>
      </w:pPr>
    </w:p>
    <w:p w14:paraId="002A959F" w14:textId="77777777" w:rsidR="00C32627" w:rsidRDefault="00C32627" w:rsidP="00C32627">
      <w:pPr>
        <w:rPr>
          <w:rFonts w:asciiTheme="minorHAnsi" w:hAnsiTheme="minorHAnsi" w:cstheme="minorHAnsi"/>
          <w:szCs w:val="22"/>
        </w:rPr>
      </w:pPr>
    </w:p>
    <w:p w14:paraId="1F2E50D6" w14:textId="2D84B00D" w:rsidR="00C32627" w:rsidRDefault="00D90D62" w:rsidP="00AB1332">
      <w:pPr>
        <w:ind w:firstLine="720"/>
        <w:rPr>
          <w:rFonts w:ascii="Times New Roman" w:hAnsi="Times New Roman"/>
          <w:szCs w:val="22"/>
        </w:rPr>
      </w:pPr>
      <w:r>
        <w:rPr>
          <w:rFonts w:ascii="Times New Roman" w:hAnsi="Times New Roman"/>
          <w:szCs w:val="22"/>
        </w:rPr>
        <w:t>T</w:t>
      </w:r>
      <w:r w:rsidR="00717BE1">
        <w:rPr>
          <w:rFonts w:ascii="Times New Roman" w:hAnsi="Times New Roman"/>
          <w:szCs w:val="22"/>
        </w:rPr>
        <w:t>he</w:t>
      </w:r>
      <w:r>
        <w:rPr>
          <w:rFonts w:ascii="Times New Roman" w:hAnsi="Times New Roman"/>
          <w:szCs w:val="22"/>
        </w:rPr>
        <w:t xml:space="preserve"> ALLIANCE</w:t>
      </w:r>
      <w:r w:rsidR="00E12774" w:rsidRPr="00467E9E">
        <w:rPr>
          <w:rFonts w:ascii="Times New Roman" w:hAnsi="Times New Roman"/>
          <w:szCs w:val="22"/>
        </w:rPr>
        <w:t xml:space="preserve"> recommends that CMS consider the impact of the wage index changes in determining whether to u</w:t>
      </w:r>
      <w:r w:rsidR="008853EB">
        <w:rPr>
          <w:rFonts w:ascii="Times New Roman" w:hAnsi="Times New Roman"/>
          <w:szCs w:val="22"/>
        </w:rPr>
        <w:t>s</w:t>
      </w:r>
      <w:r w:rsidR="00E12774" w:rsidRPr="00467E9E">
        <w:rPr>
          <w:rFonts w:ascii="Times New Roman" w:hAnsi="Times New Roman"/>
          <w:szCs w:val="22"/>
        </w:rPr>
        <w:t xml:space="preserve">e its authority to postpone the proposed PDGM rate cuts </w:t>
      </w:r>
      <w:r w:rsidR="0090674C" w:rsidRPr="00467E9E">
        <w:rPr>
          <w:rFonts w:ascii="Times New Roman" w:hAnsi="Times New Roman"/>
          <w:szCs w:val="22"/>
        </w:rPr>
        <w:t>to</w:t>
      </w:r>
      <w:r w:rsidR="00E12774" w:rsidRPr="00467E9E">
        <w:rPr>
          <w:rFonts w:ascii="Times New Roman" w:hAnsi="Times New Roman"/>
          <w:szCs w:val="22"/>
        </w:rPr>
        <w:t xml:space="preserve"> mitigate</w:t>
      </w:r>
      <w:r w:rsidR="001E4988" w:rsidRPr="00467E9E">
        <w:rPr>
          <w:rFonts w:ascii="Times New Roman" w:hAnsi="Times New Roman"/>
          <w:szCs w:val="22"/>
        </w:rPr>
        <w:t xml:space="preserve"> the expected overall access and care impacts already underway </w:t>
      </w:r>
      <w:r w:rsidR="00467E9E">
        <w:rPr>
          <w:rFonts w:ascii="Times New Roman" w:hAnsi="Times New Roman"/>
          <w:szCs w:val="22"/>
        </w:rPr>
        <w:t>with</w:t>
      </w:r>
      <w:r w:rsidR="00160589">
        <w:rPr>
          <w:rFonts w:ascii="Times New Roman" w:hAnsi="Times New Roman"/>
          <w:szCs w:val="22"/>
        </w:rPr>
        <w:t xml:space="preserve"> h</w:t>
      </w:r>
      <w:r w:rsidR="001E4988" w:rsidRPr="00467E9E">
        <w:rPr>
          <w:rFonts w:ascii="Times New Roman" w:hAnsi="Times New Roman"/>
          <w:szCs w:val="22"/>
        </w:rPr>
        <w:t>ome health services that will expand in 202</w:t>
      </w:r>
      <w:r w:rsidR="00717BE1">
        <w:rPr>
          <w:rFonts w:ascii="Times New Roman" w:hAnsi="Times New Roman"/>
          <w:szCs w:val="22"/>
        </w:rPr>
        <w:t>5</w:t>
      </w:r>
      <w:r w:rsidR="00C50F93" w:rsidRPr="00467E9E">
        <w:rPr>
          <w:rFonts w:ascii="Times New Roman" w:hAnsi="Times New Roman"/>
          <w:szCs w:val="22"/>
        </w:rPr>
        <w:t xml:space="preserve"> with all these changes. </w:t>
      </w:r>
    </w:p>
    <w:p w14:paraId="4824EA0F" w14:textId="77777777" w:rsidR="008853EB" w:rsidRDefault="008853EB" w:rsidP="00C32627">
      <w:pPr>
        <w:rPr>
          <w:rFonts w:ascii="Times New Roman" w:hAnsi="Times New Roman"/>
          <w:szCs w:val="22"/>
        </w:rPr>
      </w:pPr>
    </w:p>
    <w:p w14:paraId="286C7E8A" w14:textId="77777777" w:rsidR="008853EB" w:rsidRDefault="008853EB" w:rsidP="00C32627">
      <w:pPr>
        <w:rPr>
          <w:rFonts w:ascii="Times New Roman" w:hAnsi="Times New Roman"/>
          <w:szCs w:val="22"/>
        </w:rPr>
      </w:pPr>
    </w:p>
    <w:p w14:paraId="53A42D07" w14:textId="77777777" w:rsidR="00051251" w:rsidRDefault="00051251" w:rsidP="00995A5F">
      <w:pPr>
        <w:ind w:left="720"/>
        <w:rPr>
          <w:rFonts w:ascii="Times New Roman" w:hAnsi="Times New Roman"/>
          <w:b/>
          <w:bCs/>
          <w:szCs w:val="22"/>
        </w:rPr>
      </w:pPr>
    </w:p>
    <w:p w14:paraId="23C95E0A" w14:textId="6EF8A378" w:rsidR="004A2775" w:rsidRDefault="007924AA" w:rsidP="00995A5F">
      <w:pPr>
        <w:ind w:left="720"/>
        <w:rPr>
          <w:rFonts w:ascii="Times New Roman" w:hAnsi="Times New Roman"/>
          <w:b/>
          <w:bCs/>
          <w:szCs w:val="22"/>
        </w:rPr>
      </w:pPr>
      <w:r>
        <w:rPr>
          <w:rFonts w:ascii="Times New Roman" w:hAnsi="Times New Roman"/>
          <w:b/>
          <w:bCs/>
          <w:szCs w:val="22"/>
        </w:rPr>
        <w:t>Medicare Stands to Lose Out in the HHV</w:t>
      </w:r>
      <w:r w:rsidR="00D06A54">
        <w:rPr>
          <w:rFonts w:ascii="Times New Roman" w:hAnsi="Times New Roman"/>
          <w:b/>
          <w:bCs/>
          <w:szCs w:val="22"/>
        </w:rPr>
        <w:t>B</w:t>
      </w:r>
      <w:r>
        <w:rPr>
          <w:rFonts w:ascii="Times New Roman" w:hAnsi="Times New Roman"/>
          <w:b/>
          <w:bCs/>
          <w:szCs w:val="22"/>
        </w:rPr>
        <w:t>P</w:t>
      </w:r>
      <w:r w:rsidR="00D06A54">
        <w:rPr>
          <w:rFonts w:ascii="Times New Roman" w:hAnsi="Times New Roman"/>
          <w:b/>
          <w:bCs/>
          <w:szCs w:val="22"/>
        </w:rPr>
        <w:t xml:space="preserve"> Demonstration </w:t>
      </w:r>
      <w:r w:rsidR="00995A5F">
        <w:rPr>
          <w:rFonts w:ascii="Times New Roman" w:hAnsi="Times New Roman"/>
          <w:b/>
          <w:bCs/>
          <w:szCs w:val="22"/>
        </w:rPr>
        <w:t>a</w:t>
      </w:r>
      <w:r w:rsidR="00D06A54">
        <w:rPr>
          <w:rFonts w:ascii="Times New Roman" w:hAnsi="Times New Roman"/>
          <w:b/>
          <w:bCs/>
          <w:szCs w:val="22"/>
        </w:rPr>
        <w:t xml:space="preserve">s a Result of Expected Care </w:t>
      </w:r>
      <w:r w:rsidR="004A2775">
        <w:rPr>
          <w:rFonts w:ascii="Times New Roman" w:hAnsi="Times New Roman"/>
          <w:b/>
          <w:bCs/>
          <w:szCs w:val="22"/>
        </w:rPr>
        <w:t xml:space="preserve">Changes Triggered </w:t>
      </w:r>
      <w:r w:rsidR="00E967B4">
        <w:rPr>
          <w:rFonts w:ascii="Times New Roman" w:hAnsi="Times New Roman"/>
          <w:b/>
          <w:bCs/>
          <w:szCs w:val="22"/>
        </w:rPr>
        <w:t>b</w:t>
      </w:r>
      <w:r w:rsidR="004A2775">
        <w:rPr>
          <w:rFonts w:ascii="Times New Roman" w:hAnsi="Times New Roman"/>
          <w:b/>
          <w:bCs/>
          <w:szCs w:val="22"/>
        </w:rPr>
        <w:t>y the Proposed Rate Cuts</w:t>
      </w:r>
    </w:p>
    <w:p w14:paraId="7069178C" w14:textId="77777777" w:rsidR="004A2775" w:rsidRDefault="004A2775" w:rsidP="00C32627">
      <w:pPr>
        <w:rPr>
          <w:rFonts w:ascii="Times New Roman" w:hAnsi="Times New Roman"/>
          <w:b/>
          <w:bCs/>
          <w:szCs w:val="22"/>
        </w:rPr>
      </w:pPr>
    </w:p>
    <w:p w14:paraId="40DBF47F" w14:textId="262C59FD" w:rsidR="00EC26C9" w:rsidRDefault="004A2775" w:rsidP="00AB1332">
      <w:pPr>
        <w:ind w:firstLine="720"/>
        <w:rPr>
          <w:rFonts w:ascii="Times New Roman" w:hAnsi="Times New Roman"/>
          <w:szCs w:val="22"/>
        </w:rPr>
      </w:pPr>
      <w:r>
        <w:rPr>
          <w:rFonts w:ascii="Times New Roman" w:hAnsi="Times New Roman"/>
          <w:szCs w:val="22"/>
        </w:rPr>
        <w:t xml:space="preserve">It was just </w:t>
      </w:r>
      <w:r w:rsidR="00DC0D2F">
        <w:rPr>
          <w:rFonts w:ascii="Times New Roman" w:hAnsi="Times New Roman"/>
          <w:szCs w:val="22"/>
        </w:rPr>
        <w:t xml:space="preserve">two years ago that CMS moved to expand the </w:t>
      </w:r>
      <w:r w:rsidR="00781D79">
        <w:rPr>
          <w:rFonts w:ascii="Times New Roman" w:hAnsi="Times New Roman"/>
          <w:szCs w:val="22"/>
        </w:rPr>
        <w:t>successful</w:t>
      </w:r>
      <w:r w:rsidR="00DC0D2F">
        <w:rPr>
          <w:rFonts w:ascii="Times New Roman" w:hAnsi="Times New Roman"/>
          <w:szCs w:val="22"/>
        </w:rPr>
        <w:t xml:space="preserve"> Home Health Value Based Purchasing demonstration program</w:t>
      </w:r>
      <w:r w:rsidR="003A6B12">
        <w:rPr>
          <w:rFonts w:ascii="Times New Roman" w:hAnsi="Times New Roman"/>
          <w:szCs w:val="22"/>
        </w:rPr>
        <w:t xml:space="preserve"> from nine states to nationwide application. </w:t>
      </w:r>
      <w:r w:rsidR="00D90D62">
        <w:rPr>
          <w:rFonts w:ascii="Times New Roman" w:hAnsi="Times New Roman"/>
          <w:szCs w:val="22"/>
        </w:rPr>
        <w:t>T</w:t>
      </w:r>
      <w:r w:rsidR="00423FE7">
        <w:rPr>
          <w:rFonts w:ascii="Times New Roman" w:hAnsi="Times New Roman"/>
          <w:szCs w:val="22"/>
        </w:rPr>
        <w:t>he</w:t>
      </w:r>
      <w:r w:rsidR="00D90D62">
        <w:rPr>
          <w:rFonts w:ascii="Times New Roman" w:hAnsi="Times New Roman"/>
          <w:szCs w:val="22"/>
        </w:rPr>
        <w:t xml:space="preserve"> ALLIANCE</w:t>
      </w:r>
      <w:r w:rsidR="003A6B12">
        <w:rPr>
          <w:rFonts w:ascii="Times New Roman" w:hAnsi="Times New Roman"/>
          <w:szCs w:val="22"/>
        </w:rPr>
        <w:t xml:space="preserve"> had been a supporter of the program in its initial design and fully supported the expansion. The program stood as one of the few value-based payment</w:t>
      </w:r>
      <w:r w:rsidR="0041636C">
        <w:rPr>
          <w:rFonts w:ascii="Times New Roman" w:hAnsi="Times New Roman"/>
          <w:szCs w:val="22"/>
        </w:rPr>
        <w:t xml:space="preserve"> experiments to date with Medicare savings millions annually through reduced hospital admissions and more brought about through high quality home health services. </w:t>
      </w:r>
      <w:r w:rsidR="00EC26C9">
        <w:rPr>
          <w:rFonts w:ascii="Times New Roman" w:hAnsi="Times New Roman"/>
          <w:szCs w:val="22"/>
        </w:rPr>
        <w:t>CMS estimated that the nationwide expansion would reduce Medicare expenditures</w:t>
      </w:r>
      <w:r w:rsidR="001D4AAA">
        <w:rPr>
          <w:rFonts w:ascii="Times New Roman" w:hAnsi="Times New Roman"/>
          <w:szCs w:val="22"/>
        </w:rPr>
        <w:t xml:space="preserve"> by nearly $3.4 billion over five years. </w:t>
      </w:r>
    </w:p>
    <w:p w14:paraId="7BF95D2D" w14:textId="77777777" w:rsidR="001D4AAA" w:rsidRDefault="001D4AAA" w:rsidP="00C32627">
      <w:pPr>
        <w:rPr>
          <w:rFonts w:ascii="Times New Roman" w:hAnsi="Times New Roman"/>
          <w:szCs w:val="22"/>
        </w:rPr>
      </w:pPr>
    </w:p>
    <w:p w14:paraId="02AD177B" w14:textId="2ABD77CC" w:rsidR="00914E89" w:rsidRDefault="001D4AAA" w:rsidP="00AB1332">
      <w:pPr>
        <w:ind w:firstLine="720"/>
        <w:rPr>
          <w:rFonts w:ascii="Times New Roman" w:hAnsi="Times New Roman"/>
          <w:szCs w:val="22"/>
        </w:rPr>
      </w:pPr>
      <w:r>
        <w:rPr>
          <w:rFonts w:ascii="Times New Roman" w:hAnsi="Times New Roman"/>
          <w:szCs w:val="22"/>
        </w:rPr>
        <w:t>To get that savings takes dedication and</w:t>
      </w:r>
      <w:r w:rsidR="0001294B">
        <w:rPr>
          <w:rFonts w:ascii="Times New Roman" w:hAnsi="Times New Roman"/>
          <w:szCs w:val="22"/>
        </w:rPr>
        <w:t xml:space="preserve"> innovation by HHAs. That effort </w:t>
      </w:r>
      <w:r w:rsidR="00E357B2">
        <w:rPr>
          <w:rFonts w:ascii="Times New Roman" w:hAnsi="Times New Roman"/>
          <w:szCs w:val="22"/>
        </w:rPr>
        <w:t xml:space="preserve">also </w:t>
      </w:r>
      <w:r w:rsidR="0001294B">
        <w:rPr>
          <w:rFonts w:ascii="Times New Roman" w:hAnsi="Times New Roman"/>
          <w:szCs w:val="22"/>
        </w:rPr>
        <w:t xml:space="preserve">comes with a cost in resources. The proposed rule reducing </w:t>
      </w:r>
      <w:r w:rsidR="00950FA3">
        <w:rPr>
          <w:rFonts w:ascii="Times New Roman" w:hAnsi="Times New Roman"/>
          <w:szCs w:val="22"/>
        </w:rPr>
        <w:t xml:space="preserve">payment rates by </w:t>
      </w:r>
      <w:r w:rsidR="00423FE7">
        <w:rPr>
          <w:rFonts w:ascii="Times New Roman" w:hAnsi="Times New Roman"/>
          <w:szCs w:val="22"/>
        </w:rPr>
        <w:t>4.067</w:t>
      </w:r>
      <w:r w:rsidR="00950FA3">
        <w:rPr>
          <w:rFonts w:ascii="Times New Roman" w:hAnsi="Times New Roman"/>
          <w:szCs w:val="22"/>
        </w:rPr>
        <w:t xml:space="preserve">% </w:t>
      </w:r>
      <w:r w:rsidR="00D17B95">
        <w:rPr>
          <w:rFonts w:ascii="Times New Roman" w:hAnsi="Times New Roman"/>
          <w:szCs w:val="22"/>
        </w:rPr>
        <w:t>and the combined effect of a 5.2% shortfall in the annual inflation update</w:t>
      </w:r>
      <w:r w:rsidR="0082629F">
        <w:rPr>
          <w:rFonts w:ascii="Times New Roman" w:hAnsi="Times New Roman"/>
          <w:szCs w:val="22"/>
        </w:rPr>
        <w:t>, a modified wage index</w:t>
      </w:r>
      <w:r w:rsidR="00921254">
        <w:rPr>
          <w:rFonts w:ascii="Times New Roman" w:hAnsi="Times New Roman"/>
          <w:szCs w:val="22"/>
        </w:rPr>
        <w:t xml:space="preserve">, and the instabilities coming through </w:t>
      </w:r>
      <w:r w:rsidR="001C704E">
        <w:rPr>
          <w:rFonts w:ascii="Times New Roman" w:hAnsi="Times New Roman"/>
          <w:szCs w:val="22"/>
        </w:rPr>
        <w:t xml:space="preserve">case mix weight recalibrations </w:t>
      </w:r>
      <w:r w:rsidR="00CA3EEB">
        <w:rPr>
          <w:rFonts w:ascii="Times New Roman" w:hAnsi="Times New Roman"/>
          <w:szCs w:val="22"/>
        </w:rPr>
        <w:t xml:space="preserve">are certain to diminish needed resources to succeed in HHVBP. </w:t>
      </w:r>
      <w:r w:rsidR="004D50D5">
        <w:rPr>
          <w:rFonts w:ascii="Times New Roman" w:hAnsi="Times New Roman"/>
          <w:szCs w:val="22"/>
        </w:rPr>
        <w:t xml:space="preserve">There is only </w:t>
      </w:r>
      <w:r w:rsidR="004D50D5">
        <w:rPr>
          <w:rFonts w:ascii="Times New Roman" w:hAnsi="Times New Roman"/>
          <w:szCs w:val="22"/>
        </w:rPr>
        <w:lastRenderedPageBreak/>
        <w:t xml:space="preserve">so much an HHA can do to produce the highest quality of care when the </w:t>
      </w:r>
      <w:r w:rsidR="00402FD8">
        <w:rPr>
          <w:rFonts w:ascii="Times New Roman" w:hAnsi="Times New Roman"/>
          <w:szCs w:val="22"/>
        </w:rPr>
        <w:t xml:space="preserve">resources </w:t>
      </w:r>
      <w:r w:rsidR="0060609B">
        <w:rPr>
          <w:rFonts w:ascii="Times New Roman" w:hAnsi="Times New Roman"/>
          <w:szCs w:val="22"/>
        </w:rPr>
        <w:t>needed</w:t>
      </w:r>
      <w:r w:rsidR="00402FD8">
        <w:rPr>
          <w:rFonts w:ascii="Times New Roman" w:hAnsi="Times New Roman"/>
          <w:szCs w:val="22"/>
        </w:rPr>
        <w:t xml:space="preserve"> to deliver care are reduced. </w:t>
      </w:r>
      <w:r w:rsidR="005F4568">
        <w:rPr>
          <w:rFonts w:ascii="Times New Roman" w:hAnsi="Times New Roman"/>
          <w:szCs w:val="22"/>
        </w:rPr>
        <w:t xml:space="preserve">While we expect that HHAs will continue to provide </w:t>
      </w:r>
      <w:r w:rsidR="00144D4A">
        <w:rPr>
          <w:rFonts w:ascii="Times New Roman" w:hAnsi="Times New Roman"/>
          <w:szCs w:val="22"/>
        </w:rPr>
        <w:t>an incredibly</w:t>
      </w:r>
      <w:r w:rsidR="005F4568">
        <w:rPr>
          <w:rFonts w:ascii="Times New Roman" w:hAnsi="Times New Roman"/>
          <w:szCs w:val="22"/>
        </w:rPr>
        <w:t xml:space="preserve"> high quality of care as they have do</w:t>
      </w:r>
      <w:r w:rsidR="000770CE">
        <w:rPr>
          <w:rFonts w:ascii="Times New Roman" w:hAnsi="Times New Roman"/>
          <w:szCs w:val="22"/>
        </w:rPr>
        <w:t>n</w:t>
      </w:r>
      <w:r w:rsidR="005F4568">
        <w:rPr>
          <w:rFonts w:ascii="Times New Roman" w:hAnsi="Times New Roman"/>
          <w:szCs w:val="22"/>
        </w:rPr>
        <w:t xml:space="preserve">e </w:t>
      </w:r>
      <w:r w:rsidR="006A6E84">
        <w:rPr>
          <w:rFonts w:ascii="Times New Roman" w:hAnsi="Times New Roman"/>
          <w:szCs w:val="22"/>
        </w:rPr>
        <w:t xml:space="preserve">following other rate reductions, we believe that </w:t>
      </w:r>
      <w:r w:rsidR="00D63516">
        <w:rPr>
          <w:rFonts w:ascii="Times New Roman" w:hAnsi="Times New Roman"/>
          <w:szCs w:val="22"/>
        </w:rPr>
        <w:t>they</w:t>
      </w:r>
      <w:r w:rsidR="006A6E84">
        <w:rPr>
          <w:rFonts w:ascii="Times New Roman" w:hAnsi="Times New Roman"/>
          <w:szCs w:val="22"/>
        </w:rPr>
        <w:t xml:space="preserve"> have reached a breaking point financially. </w:t>
      </w:r>
      <w:r w:rsidR="00423FE7">
        <w:rPr>
          <w:rFonts w:ascii="Times New Roman" w:hAnsi="Times New Roman"/>
          <w:szCs w:val="22"/>
        </w:rPr>
        <w:t xml:space="preserve"> As noted above, as rates of payment are </w:t>
      </w:r>
      <w:r w:rsidR="001F355E">
        <w:rPr>
          <w:rFonts w:ascii="Times New Roman" w:hAnsi="Times New Roman"/>
          <w:szCs w:val="22"/>
        </w:rPr>
        <w:t xml:space="preserve">decreased, access to care and the level of care available also decrease. These changes are bound to affect patient outcomes and the success of HHVBP. </w:t>
      </w:r>
    </w:p>
    <w:p w14:paraId="226CF2C5" w14:textId="77777777" w:rsidR="00914E89" w:rsidRDefault="00914E89" w:rsidP="00C32627">
      <w:pPr>
        <w:rPr>
          <w:rFonts w:ascii="Times New Roman" w:hAnsi="Times New Roman"/>
          <w:szCs w:val="22"/>
        </w:rPr>
      </w:pPr>
    </w:p>
    <w:p w14:paraId="4BCE94A9" w14:textId="332FAD5F" w:rsidR="00995A5F" w:rsidRDefault="00801640" w:rsidP="00AB1332">
      <w:pPr>
        <w:ind w:firstLine="720"/>
        <w:rPr>
          <w:rFonts w:ascii="Times New Roman" w:hAnsi="Times New Roman"/>
          <w:szCs w:val="22"/>
        </w:rPr>
      </w:pPr>
      <w:r>
        <w:rPr>
          <w:rFonts w:ascii="Times New Roman" w:hAnsi="Times New Roman"/>
          <w:szCs w:val="22"/>
        </w:rPr>
        <w:t>The proposed rate reduction may be viewed by some as CMS’s lack of respect for the value of home health services, which is at odds with the objective evidence in HHVBP that home health care brings a dynamic val</w:t>
      </w:r>
      <w:r w:rsidR="005B33DF">
        <w:rPr>
          <w:rFonts w:ascii="Times New Roman" w:hAnsi="Times New Roman"/>
          <w:szCs w:val="22"/>
        </w:rPr>
        <w:t>u</w:t>
      </w:r>
      <w:r>
        <w:rPr>
          <w:rFonts w:ascii="Times New Roman" w:hAnsi="Times New Roman"/>
          <w:szCs w:val="22"/>
        </w:rPr>
        <w:t>e to Medicare and the patients its serves</w:t>
      </w:r>
      <w:r w:rsidR="00B80ED4">
        <w:rPr>
          <w:rFonts w:ascii="Times New Roman" w:hAnsi="Times New Roman"/>
          <w:szCs w:val="22"/>
        </w:rPr>
        <w:t xml:space="preserve">. </w:t>
      </w:r>
      <w:r w:rsidR="00D90D62">
        <w:rPr>
          <w:rFonts w:ascii="Times New Roman" w:hAnsi="Times New Roman"/>
          <w:szCs w:val="22"/>
        </w:rPr>
        <w:t>T</w:t>
      </w:r>
      <w:r w:rsidR="00675A10">
        <w:rPr>
          <w:rFonts w:ascii="Times New Roman" w:hAnsi="Times New Roman"/>
          <w:szCs w:val="22"/>
        </w:rPr>
        <w:t>he</w:t>
      </w:r>
      <w:r w:rsidR="00D90D62">
        <w:rPr>
          <w:rFonts w:ascii="Times New Roman" w:hAnsi="Times New Roman"/>
          <w:szCs w:val="22"/>
        </w:rPr>
        <w:t xml:space="preserve"> ALLIANCE</w:t>
      </w:r>
      <w:r w:rsidR="00914E89">
        <w:rPr>
          <w:rFonts w:ascii="Times New Roman" w:hAnsi="Times New Roman"/>
          <w:szCs w:val="22"/>
        </w:rPr>
        <w:t xml:space="preserve"> believes that CMS maintains an understanding of </w:t>
      </w:r>
      <w:r w:rsidR="005B33DF">
        <w:rPr>
          <w:rFonts w:ascii="Times New Roman" w:hAnsi="Times New Roman"/>
          <w:szCs w:val="22"/>
        </w:rPr>
        <w:t xml:space="preserve">the value of home health services and will </w:t>
      </w:r>
      <w:r w:rsidR="00CB6F04">
        <w:rPr>
          <w:rFonts w:ascii="Times New Roman" w:hAnsi="Times New Roman"/>
          <w:szCs w:val="22"/>
        </w:rPr>
        <w:t>recognize the need to preserve that value by postponing the proposed rate cut in 202</w:t>
      </w:r>
      <w:r w:rsidR="00675A10">
        <w:rPr>
          <w:rFonts w:ascii="Times New Roman" w:hAnsi="Times New Roman"/>
          <w:szCs w:val="22"/>
        </w:rPr>
        <w:t>5</w:t>
      </w:r>
      <w:r w:rsidR="00CB6F04">
        <w:rPr>
          <w:rFonts w:ascii="Times New Roman" w:hAnsi="Times New Roman"/>
          <w:szCs w:val="22"/>
        </w:rPr>
        <w:t xml:space="preserve">. </w:t>
      </w:r>
    </w:p>
    <w:p w14:paraId="66328E5B" w14:textId="77777777" w:rsidR="00995A5F" w:rsidRDefault="00995A5F" w:rsidP="00C32627">
      <w:pPr>
        <w:rPr>
          <w:rFonts w:ascii="Times New Roman" w:hAnsi="Times New Roman"/>
          <w:szCs w:val="22"/>
        </w:rPr>
      </w:pPr>
    </w:p>
    <w:p w14:paraId="6A300B81" w14:textId="77777777" w:rsidR="00995A5F" w:rsidRPr="00601169" w:rsidRDefault="00995A5F" w:rsidP="00C32627">
      <w:pPr>
        <w:rPr>
          <w:rFonts w:ascii="Times New Roman" w:hAnsi="Times New Roman"/>
          <w:b/>
          <w:bCs/>
          <w:szCs w:val="22"/>
        </w:rPr>
      </w:pPr>
    </w:p>
    <w:p w14:paraId="4D4438DE" w14:textId="1B0C0630" w:rsidR="00995A5F" w:rsidRPr="00601169" w:rsidRDefault="00D90D62" w:rsidP="00601169">
      <w:pPr>
        <w:ind w:left="720"/>
        <w:rPr>
          <w:rFonts w:ascii="Times New Roman" w:hAnsi="Times New Roman"/>
          <w:b/>
          <w:bCs/>
          <w:szCs w:val="22"/>
        </w:rPr>
      </w:pPr>
      <w:r>
        <w:rPr>
          <w:rFonts w:ascii="Times New Roman" w:hAnsi="Times New Roman"/>
          <w:b/>
          <w:bCs/>
          <w:szCs w:val="22"/>
        </w:rPr>
        <w:t>T</w:t>
      </w:r>
      <w:r w:rsidR="00675A10">
        <w:rPr>
          <w:rFonts w:ascii="Times New Roman" w:hAnsi="Times New Roman"/>
          <w:b/>
          <w:bCs/>
          <w:szCs w:val="22"/>
        </w:rPr>
        <w:t>he</w:t>
      </w:r>
      <w:r>
        <w:rPr>
          <w:rFonts w:ascii="Times New Roman" w:hAnsi="Times New Roman"/>
          <w:b/>
          <w:bCs/>
          <w:szCs w:val="22"/>
        </w:rPr>
        <w:t xml:space="preserve"> ALLIANCE</w:t>
      </w:r>
      <w:r w:rsidR="003D3375" w:rsidRPr="00601169">
        <w:rPr>
          <w:rFonts w:ascii="Times New Roman" w:hAnsi="Times New Roman"/>
          <w:b/>
          <w:bCs/>
          <w:szCs w:val="22"/>
        </w:rPr>
        <w:t xml:space="preserve"> Maintains That the Methodology Applied by CMS to Determine </w:t>
      </w:r>
      <w:r w:rsidR="00601169" w:rsidRPr="00601169">
        <w:rPr>
          <w:rFonts w:ascii="Times New Roman" w:hAnsi="Times New Roman"/>
          <w:b/>
          <w:bCs/>
          <w:szCs w:val="22"/>
        </w:rPr>
        <w:t>Whether PDGM Is Budget Neutral Is Noncomplian</w:t>
      </w:r>
      <w:r w:rsidR="009171FF">
        <w:rPr>
          <w:rFonts w:ascii="Times New Roman" w:hAnsi="Times New Roman"/>
          <w:b/>
          <w:bCs/>
          <w:szCs w:val="22"/>
        </w:rPr>
        <w:t>t</w:t>
      </w:r>
      <w:r w:rsidR="00601169" w:rsidRPr="00601169">
        <w:rPr>
          <w:rFonts w:ascii="Times New Roman" w:hAnsi="Times New Roman"/>
          <w:b/>
          <w:bCs/>
          <w:szCs w:val="22"/>
        </w:rPr>
        <w:t xml:space="preserve"> with the Sta</w:t>
      </w:r>
      <w:r w:rsidR="0082365E">
        <w:rPr>
          <w:rFonts w:ascii="Times New Roman" w:hAnsi="Times New Roman"/>
          <w:b/>
          <w:bCs/>
          <w:szCs w:val="22"/>
        </w:rPr>
        <w:t>t</w:t>
      </w:r>
      <w:r w:rsidR="00601169" w:rsidRPr="00601169">
        <w:rPr>
          <w:rFonts w:ascii="Times New Roman" w:hAnsi="Times New Roman"/>
          <w:b/>
          <w:bCs/>
          <w:szCs w:val="22"/>
        </w:rPr>
        <w:t>utory Mandate</w:t>
      </w:r>
    </w:p>
    <w:p w14:paraId="18C78913" w14:textId="77777777" w:rsidR="00995A5F" w:rsidRDefault="00995A5F" w:rsidP="00C32627">
      <w:pPr>
        <w:rPr>
          <w:rFonts w:ascii="Times New Roman" w:hAnsi="Times New Roman"/>
          <w:szCs w:val="22"/>
        </w:rPr>
      </w:pPr>
    </w:p>
    <w:p w14:paraId="6D19B193" w14:textId="77777777" w:rsidR="00601169" w:rsidRDefault="00601169" w:rsidP="00C32627">
      <w:pPr>
        <w:rPr>
          <w:rFonts w:ascii="Times New Roman" w:hAnsi="Times New Roman"/>
          <w:szCs w:val="22"/>
        </w:rPr>
      </w:pPr>
    </w:p>
    <w:p w14:paraId="294293E0" w14:textId="77777777" w:rsidR="00E1289B" w:rsidRDefault="00601169" w:rsidP="00AB1332">
      <w:pPr>
        <w:ind w:firstLine="720"/>
        <w:rPr>
          <w:rFonts w:ascii="Times New Roman" w:hAnsi="Times New Roman"/>
          <w:szCs w:val="22"/>
        </w:rPr>
      </w:pPr>
      <w:r>
        <w:rPr>
          <w:rFonts w:ascii="Times New Roman" w:hAnsi="Times New Roman"/>
          <w:szCs w:val="22"/>
        </w:rPr>
        <w:t xml:space="preserve">In the </w:t>
      </w:r>
      <w:r w:rsidR="003954FD">
        <w:rPr>
          <w:rFonts w:ascii="Times New Roman" w:hAnsi="Times New Roman"/>
          <w:szCs w:val="22"/>
        </w:rPr>
        <w:t xml:space="preserve">2022 and 2023 HHPPS rulemaking, </w:t>
      </w:r>
      <w:r w:rsidR="00D90D62">
        <w:rPr>
          <w:rFonts w:ascii="Times New Roman" w:hAnsi="Times New Roman"/>
          <w:szCs w:val="22"/>
        </w:rPr>
        <w:t>THE ALLIANCE</w:t>
      </w:r>
      <w:r w:rsidR="003954FD">
        <w:rPr>
          <w:rFonts w:ascii="Times New Roman" w:hAnsi="Times New Roman"/>
          <w:szCs w:val="22"/>
        </w:rPr>
        <w:t xml:space="preserve"> strenuously expressed its view that the </w:t>
      </w:r>
      <w:r w:rsidR="00B33B1B">
        <w:rPr>
          <w:rFonts w:ascii="Times New Roman" w:hAnsi="Times New Roman"/>
          <w:szCs w:val="22"/>
        </w:rPr>
        <w:t>budget neutrality assessment methodology used by CMS was fatally flawed</w:t>
      </w:r>
      <w:r w:rsidR="0082365E">
        <w:rPr>
          <w:rFonts w:ascii="Times New Roman" w:hAnsi="Times New Roman"/>
          <w:szCs w:val="22"/>
        </w:rPr>
        <w:t xml:space="preserve"> both logically and under </w:t>
      </w:r>
      <w:r w:rsidR="00D77D5D">
        <w:rPr>
          <w:rFonts w:ascii="Times New Roman" w:hAnsi="Times New Roman"/>
          <w:szCs w:val="22"/>
        </w:rPr>
        <w:t>Medicare law.</w:t>
      </w:r>
      <w:r w:rsidR="00B33B1B">
        <w:rPr>
          <w:rFonts w:ascii="Times New Roman" w:hAnsi="Times New Roman"/>
          <w:szCs w:val="22"/>
        </w:rPr>
        <w:t xml:space="preserve"> That view was supported</w:t>
      </w:r>
      <w:r w:rsidR="001935EE">
        <w:rPr>
          <w:rFonts w:ascii="Times New Roman" w:hAnsi="Times New Roman"/>
          <w:szCs w:val="22"/>
        </w:rPr>
        <w:t xml:space="preserve"> by two independent legal analyses from highly respected law firms that included </w:t>
      </w:r>
      <w:r w:rsidR="00874967">
        <w:rPr>
          <w:rFonts w:ascii="Times New Roman" w:hAnsi="Times New Roman"/>
          <w:szCs w:val="22"/>
        </w:rPr>
        <w:t>attorneys formerly with the CMS/HHS Office of General Counsel</w:t>
      </w:r>
      <w:r w:rsidR="00B80ED4">
        <w:rPr>
          <w:rFonts w:ascii="Times New Roman" w:hAnsi="Times New Roman"/>
          <w:szCs w:val="22"/>
        </w:rPr>
        <w:t xml:space="preserve">. </w:t>
      </w:r>
      <w:r w:rsidR="00D90D62">
        <w:rPr>
          <w:rFonts w:ascii="Times New Roman" w:hAnsi="Times New Roman"/>
          <w:szCs w:val="22"/>
        </w:rPr>
        <w:t>T</w:t>
      </w:r>
      <w:r w:rsidR="00675A10">
        <w:rPr>
          <w:rFonts w:ascii="Times New Roman" w:hAnsi="Times New Roman"/>
          <w:szCs w:val="22"/>
        </w:rPr>
        <w:t>he</w:t>
      </w:r>
      <w:r w:rsidR="00D90D62">
        <w:rPr>
          <w:rFonts w:ascii="Times New Roman" w:hAnsi="Times New Roman"/>
          <w:szCs w:val="22"/>
        </w:rPr>
        <w:t xml:space="preserve"> ALLIANCE</w:t>
      </w:r>
      <w:r w:rsidR="008D1297">
        <w:rPr>
          <w:rFonts w:ascii="Times New Roman" w:hAnsi="Times New Roman"/>
          <w:szCs w:val="22"/>
        </w:rPr>
        <w:t xml:space="preserve"> will not </w:t>
      </w:r>
      <w:r w:rsidR="00BD5101">
        <w:rPr>
          <w:rFonts w:ascii="Times New Roman" w:hAnsi="Times New Roman"/>
          <w:szCs w:val="22"/>
        </w:rPr>
        <w:t>repeat</w:t>
      </w:r>
      <w:r w:rsidR="008D1297">
        <w:rPr>
          <w:rFonts w:ascii="Times New Roman" w:hAnsi="Times New Roman"/>
          <w:szCs w:val="22"/>
        </w:rPr>
        <w:t xml:space="preserve"> </w:t>
      </w:r>
      <w:r w:rsidR="0038680E">
        <w:rPr>
          <w:rFonts w:ascii="Times New Roman" w:hAnsi="Times New Roman"/>
          <w:szCs w:val="22"/>
        </w:rPr>
        <w:t>all</w:t>
      </w:r>
      <w:r w:rsidR="008D1297">
        <w:rPr>
          <w:rFonts w:ascii="Times New Roman" w:hAnsi="Times New Roman"/>
          <w:szCs w:val="22"/>
        </w:rPr>
        <w:t xml:space="preserve"> the arguments presented to support that position.</w:t>
      </w:r>
    </w:p>
    <w:p w14:paraId="17C727E9" w14:textId="77777777" w:rsidR="00E1289B" w:rsidRDefault="00E1289B" w:rsidP="00AB1332">
      <w:pPr>
        <w:ind w:firstLine="720"/>
        <w:rPr>
          <w:rFonts w:ascii="Times New Roman" w:hAnsi="Times New Roman"/>
          <w:szCs w:val="22"/>
        </w:rPr>
      </w:pPr>
    </w:p>
    <w:p w14:paraId="5972F379" w14:textId="59902C15" w:rsidR="00601169" w:rsidRDefault="00E1289B" w:rsidP="00BC2D3E">
      <w:pPr>
        <w:ind w:firstLine="720"/>
        <w:rPr>
          <w:rFonts w:ascii="Times New Roman" w:hAnsi="Times New Roman"/>
          <w:szCs w:val="22"/>
        </w:rPr>
      </w:pPr>
      <w:r>
        <w:rPr>
          <w:rFonts w:ascii="Times New Roman" w:hAnsi="Times New Roman"/>
          <w:szCs w:val="22"/>
        </w:rPr>
        <w:t>While the U.S. District Court</w:t>
      </w:r>
      <w:r w:rsidR="00BA24F3">
        <w:rPr>
          <w:rFonts w:ascii="Times New Roman" w:hAnsi="Times New Roman"/>
          <w:szCs w:val="22"/>
        </w:rPr>
        <w:t xml:space="preserve"> for the District of Columbia dismissed the case on the basis of failure to exhaust the remedy of seeking expedited judicial review, </w:t>
      </w:r>
      <w:r w:rsidR="0032680D">
        <w:rPr>
          <w:rFonts w:ascii="Times New Roman" w:hAnsi="Times New Roman"/>
          <w:szCs w:val="22"/>
        </w:rPr>
        <w:t>the matter will be eventually refiled once that administrative step concludes.  However, it is clear that with the normal</w:t>
      </w:r>
      <w:r w:rsidR="008C454E">
        <w:rPr>
          <w:rFonts w:ascii="Times New Roman" w:hAnsi="Times New Roman"/>
          <w:szCs w:val="22"/>
        </w:rPr>
        <w:t xml:space="preserve"> time involved in administrative appeals</w:t>
      </w:r>
      <w:r w:rsidR="00F57EC8">
        <w:rPr>
          <w:rFonts w:ascii="Times New Roman" w:hAnsi="Times New Roman"/>
          <w:szCs w:val="22"/>
        </w:rPr>
        <w:t xml:space="preserve"> and the </w:t>
      </w:r>
      <w:r w:rsidR="007E53CF">
        <w:rPr>
          <w:rFonts w:ascii="Times New Roman" w:hAnsi="Times New Roman"/>
          <w:szCs w:val="22"/>
        </w:rPr>
        <w:t>normal pace of litigation, it is unexpected that the matter will be resolved prior to</w:t>
      </w:r>
      <w:r w:rsidR="00135900">
        <w:rPr>
          <w:rFonts w:ascii="Times New Roman" w:hAnsi="Times New Roman"/>
          <w:szCs w:val="22"/>
        </w:rPr>
        <w:t xml:space="preserve"> </w:t>
      </w:r>
      <w:r w:rsidR="00144D4A">
        <w:rPr>
          <w:rFonts w:ascii="Times New Roman" w:hAnsi="Times New Roman"/>
          <w:szCs w:val="22"/>
        </w:rPr>
        <w:t>January</w:t>
      </w:r>
      <w:r w:rsidR="00135900">
        <w:rPr>
          <w:rFonts w:ascii="Times New Roman" w:hAnsi="Times New Roman"/>
          <w:szCs w:val="22"/>
        </w:rPr>
        <w:t xml:space="preserve"> 1. 202</w:t>
      </w:r>
      <w:r w:rsidR="00F57EC8">
        <w:rPr>
          <w:rFonts w:ascii="Times New Roman" w:hAnsi="Times New Roman"/>
          <w:szCs w:val="22"/>
        </w:rPr>
        <w:t>5</w:t>
      </w:r>
      <w:r w:rsidR="00135900">
        <w:rPr>
          <w:rFonts w:ascii="Times New Roman" w:hAnsi="Times New Roman"/>
          <w:szCs w:val="22"/>
        </w:rPr>
        <w:t xml:space="preserve"> effective date of the Final Rule that comes out of the pending proposed rule</w:t>
      </w:r>
      <w:r w:rsidR="00B80ED4">
        <w:rPr>
          <w:rFonts w:ascii="Times New Roman" w:hAnsi="Times New Roman"/>
          <w:szCs w:val="22"/>
        </w:rPr>
        <w:t xml:space="preserve">. </w:t>
      </w:r>
      <w:r w:rsidR="00075D75">
        <w:rPr>
          <w:rFonts w:ascii="Times New Roman" w:hAnsi="Times New Roman"/>
          <w:szCs w:val="22"/>
        </w:rPr>
        <w:t xml:space="preserve">For that reason, </w:t>
      </w:r>
      <w:r w:rsidR="00D90D62">
        <w:rPr>
          <w:rFonts w:ascii="Times New Roman" w:hAnsi="Times New Roman"/>
          <w:szCs w:val="22"/>
        </w:rPr>
        <w:t>T</w:t>
      </w:r>
      <w:r w:rsidR="00675A10">
        <w:rPr>
          <w:rFonts w:ascii="Times New Roman" w:hAnsi="Times New Roman"/>
          <w:szCs w:val="22"/>
        </w:rPr>
        <w:t>he</w:t>
      </w:r>
      <w:r w:rsidR="00D90D62">
        <w:rPr>
          <w:rFonts w:ascii="Times New Roman" w:hAnsi="Times New Roman"/>
          <w:szCs w:val="22"/>
        </w:rPr>
        <w:t xml:space="preserve"> ALLIANCE</w:t>
      </w:r>
      <w:r w:rsidR="00075D75">
        <w:rPr>
          <w:rFonts w:ascii="Times New Roman" w:hAnsi="Times New Roman"/>
          <w:szCs w:val="22"/>
        </w:rPr>
        <w:t xml:space="preserve"> respectfully requests that CMS use its authority under 42 USC 1395</w:t>
      </w:r>
      <w:r w:rsidR="0052010C">
        <w:rPr>
          <w:rFonts w:ascii="Times New Roman" w:hAnsi="Times New Roman"/>
          <w:szCs w:val="22"/>
        </w:rPr>
        <w:t xml:space="preserve">fff to postpone the proposed </w:t>
      </w:r>
      <w:r w:rsidR="00F57EC8">
        <w:rPr>
          <w:rFonts w:ascii="Times New Roman" w:hAnsi="Times New Roman"/>
          <w:szCs w:val="22"/>
        </w:rPr>
        <w:t>4.067</w:t>
      </w:r>
      <w:r w:rsidR="0052010C">
        <w:rPr>
          <w:rFonts w:ascii="Times New Roman" w:hAnsi="Times New Roman"/>
          <w:szCs w:val="22"/>
        </w:rPr>
        <w:t xml:space="preserve">% rate cut as </w:t>
      </w:r>
      <w:r w:rsidR="00B3350D">
        <w:rPr>
          <w:rFonts w:ascii="Times New Roman" w:hAnsi="Times New Roman"/>
          <w:szCs w:val="22"/>
        </w:rPr>
        <w:t xml:space="preserve">the great harm outlined above must be avoided. </w:t>
      </w:r>
    </w:p>
    <w:p w14:paraId="5358E06D" w14:textId="77777777" w:rsidR="00F31BFE" w:rsidRDefault="00F31BFE" w:rsidP="00C32627">
      <w:pPr>
        <w:rPr>
          <w:rFonts w:ascii="Times New Roman" w:hAnsi="Times New Roman"/>
          <w:szCs w:val="22"/>
        </w:rPr>
      </w:pPr>
    </w:p>
    <w:p w14:paraId="7B5BA12F" w14:textId="77777777" w:rsidR="00E42F3F" w:rsidRDefault="00E42F3F" w:rsidP="00C32627">
      <w:pPr>
        <w:rPr>
          <w:rFonts w:ascii="Times New Roman" w:hAnsi="Times New Roman"/>
          <w:b/>
          <w:bCs/>
          <w:szCs w:val="22"/>
        </w:rPr>
      </w:pPr>
    </w:p>
    <w:p w14:paraId="7AD90AD3" w14:textId="4E85BAC9" w:rsidR="00F31BFE" w:rsidRDefault="008518BA" w:rsidP="00C32627">
      <w:pPr>
        <w:rPr>
          <w:rFonts w:ascii="Times New Roman" w:hAnsi="Times New Roman"/>
          <w:b/>
          <w:bCs/>
          <w:szCs w:val="22"/>
        </w:rPr>
      </w:pPr>
      <w:r>
        <w:rPr>
          <w:rFonts w:ascii="Times New Roman" w:hAnsi="Times New Roman"/>
          <w:b/>
          <w:bCs/>
          <w:szCs w:val="22"/>
        </w:rPr>
        <w:t>RECOMMENDATIONS:</w:t>
      </w:r>
    </w:p>
    <w:p w14:paraId="1C28BF7E" w14:textId="4B9006EA" w:rsidR="008518BA" w:rsidRPr="00E42F3F" w:rsidRDefault="008518BA" w:rsidP="00E42F3F">
      <w:pPr>
        <w:pStyle w:val="ListParagraph"/>
        <w:numPr>
          <w:ilvl w:val="0"/>
          <w:numId w:val="13"/>
        </w:numPr>
        <w:rPr>
          <w:rFonts w:ascii="Times New Roman" w:hAnsi="Times New Roman"/>
          <w:b/>
          <w:bCs/>
          <w:szCs w:val="22"/>
        </w:rPr>
      </w:pPr>
      <w:r w:rsidRPr="00E42F3F">
        <w:rPr>
          <w:rFonts w:ascii="Times New Roman" w:hAnsi="Times New Roman"/>
          <w:b/>
          <w:bCs/>
          <w:szCs w:val="22"/>
        </w:rPr>
        <w:t xml:space="preserve">CMS should postpone </w:t>
      </w:r>
      <w:r w:rsidR="007A15DA" w:rsidRPr="00E42F3F">
        <w:rPr>
          <w:rFonts w:ascii="Times New Roman" w:hAnsi="Times New Roman"/>
          <w:b/>
          <w:bCs/>
          <w:szCs w:val="22"/>
        </w:rPr>
        <w:t>application of an</w:t>
      </w:r>
      <w:r w:rsidR="00357419" w:rsidRPr="00E42F3F">
        <w:rPr>
          <w:rFonts w:ascii="Times New Roman" w:hAnsi="Times New Roman"/>
          <w:b/>
          <w:bCs/>
          <w:szCs w:val="22"/>
        </w:rPr>
        <w:t>y</w:t>
      </w:r>
      <w:r w:rsidR="007A15DA" w:rsidRPr="00E42F3F">
        <w:rPr>
          <w:rFonts w:ascii="Times New Roman" w:hAnsi="Times New Roman"/>
          <w:b/>
          <w:bCs/>
          <w:szCs w:val="22"/>
        </w:rPr>
        <w:t xml:space="preserve"> permanent adjustments related to PDGM budget neutrality to preserve current access to home health services and the scope of care available</w:t>
      </w:r>
      <w:r w:rsidR="00FE4233" w:rsidRPr="00E42F3F">
        <w:rPr>
          <w:rFonts w:ascii="Times New Roman" w:hAnsi="Times New Roman"/>
          <w:b/>
          <w:bCs/>
          <w:szCs w:val="22"/>
        </w:rPr>
        <w:t>.</w:t>
      </w:r>
    </w:p>
    <w:p w14:paraId="328D0AF1" w14:textId="17F578EA" w:rsidR="007A15DA" w:rsidRPr="0001246B" w:rsidRDefault="00A10EA8" w:rsidP="0001246B">
      <w:pPr>
        <w:pStyle w:val="ListParagraph"/>
        <w:numPr>
          <w:ilvl w:val="0"/>
          <w:numId w:val="13"/>
        </w:numPr>
        <w:rPr>
          <w:rFonts w:ascii="Times New Roman" w:hAnsi="Times New Roman"/>
          <w:b/>
          <w:bCs/>
          <w:szCs w:val="22"/>
        </w:rPr>
      </w:pPr>
      <w:r w:rsidRPr="0001246B">
        <w:rPr>
          <w:rFonts w:ascii="Times New Roman" w:hAnsi="Times New Roman"/>
          <w:b/>
          <w:bCs/>
          <w:szCs w:val="22"/>
        </w:rPr>
        <w:t xml:space="preserve">CMS should maintain its </w:t>
      </w:r>
      <w:r w:rsidR="00EA328F">
        <w:rPr>
          <w:rFonts w:ascii="Times New Roman" w:hAnsi="Times New Roman"/>
          <w:b/>
          <w:bCs/>
          <w:szCs w:val="22"/>
        </w:rPr>
        <w:t xml:space="preserve">proposed </w:t>
      </w:r>
      <w:r w:rsidRPr="0001246B">
        <w:rPr>
          <w:rFonts w:ascii="Times New Roman" w:hAnsi="Times New Roman"/>
          <w:b/>
          <w:bCs/>
          <w:szCs w:val="22"/>
        </w:rPr>
        <w:t>position to withhold any part of the PDGM budget neutrality temporary adjustments in 202</w:t>
      </w:r>
      <w:r w:rsidR="00EA328F">
        <w:rPr>
          <w:rFonts w:ascii="Times New Roman" w:hAnsi="Times New Roman"/>
          <w:b/>
          <w:bCs/>
          <w:szCs w:val="22"/>
        </w:rPr>
        <w:t>5</w:t>
      </w:r>
      <w:r w:rsidR="00FE4233" w:rsidRPr="0001246B">
        <w:rPr>
          <w:rFonts w:ascii="Times New Roman" w:hAnsi="Times New Roman"/>
          <w:b/>
          <w:bCs/>
          <w:szCs w:val="22"/>
        </w:rPr>
        <w:t>.</w:t>
      </w:r>
    </w:p>
    <w:p w14:paraId="7FE1AF80" w14:textId="3024ED0F" w:rsidR="00FE4233" w:rsidRDefault="00FE4233" w:rsidP="0001246B">
      <w:pPr>
        <w:pStyle w:val="ListParagraph"/>
        <w:numPr>
          <w:ilvl w:val="0"/>
          <w:numId w:val="13"/>
        </w:numPr>
        <w:rPr>
          <w:rFonts w:ascii="Times New Roman" w:hAnsi="Times New Roman"/>
          <w:b/>
          <w:bCs/>
          <w:szCs w:val="22"/>
        </w:rPr>
      </w:pPr>
      <w:r>
        <w:rPr>
          <w:rFonts w:ascii="Times New Roman" w:hAnsi="Times New Roman"/>
          <w:b/>
          <w:bCs/>
          <w:szCs w:val="22"/>
        </w:rPr>
        <w:t>CMS should recognize the disruptiv</w:t>
      </w:r>
      <w:r w:rsidR="005C36CF">
        <w:rPr>
          <w:rFonts w:ascii="Times New Roman" w:hAnsi="Times New Roman"/>
          <w:b/>
          <w:bCs/>
          <w:szCs w:val="22"/>
        </w:rPr>
        <w:t>e and permanent</w:t>
      </w:r>
      <w:r>
        <w:rPr>
          <w:rFonts w:ascii="Times New Roman" w:hAnsi="Times New Roman"/>
          <w:b/>
          <w:bCs/>
          <w:szCs w:val="22"/>
        </w:rPr>
        <w:t xml:space="preserve"> financial</w:t>
      </w:r>
      <w:r w:rsidR="005C36CF">
        <w:rPr>
          <w:rFonts w:ascii="Times New Roman" w:hAnsi="Times New Roman"/>
          <w:b/>
          <w:bCs/>
          <w:szCs w:val="22"/>
        </w:rPr>
        <w:t xml:space="preserve"> impact of its forecasting error</w:t>
      </w:r>
      <w:r>
        <w:rPr>
          <w:rFonts w:ascii="Times New Roman" w:hAnsi="Times New Roman"/>
          <w:b/>
          <w:bCs/>
          <w:szCs w:val="22"/>
        </w:rPr>
        <w:t xml:space="preserve"> </w:t>
      </w:r>
      <w:r w:rsidR="005C36CF">
        <w:rPr>
          <w:rFonts w:ascii="Times New Roman" w:hAnsi="Times New Roman"/>
          <w:b/>
          <w:bCs/>
          <w:szCs w:val="22"/>
        </w:rPr>
        <w:t xml:space="preserve">with respect to the </w:t>
      </w:r>
      <w:r w:rsidR="00E80549">
        <w:rPr>
          <w:rFonts w:ascii="Times New Roman" w:hAnsi="Times New Roman"/>
          <w:b/>
          <w:bCs/>
          <w:szCs w:val="22"/>
        </w:rPr>
        <w:t xml:space="preserve">annual Market Basket Index updates from 2021 and 2022 and implement a one-time </w:t>
      </w:r>
      <w:r w:rsidR="001D30E6">
        <w:rPr>
          <w:rFonts w:ascii="Times New Roman" w:hAnsi="Times New Roman"/>
          <w:b/>
          <w:bCs/>
          <w:szCs w:val="22"/>
        </w:rPr>
        <w:t>adjustment to account for the 5.2% forecasting error.</w:t>
      </w:r>
    </w:p>
    <w:p w14:paraId="0E4CE910" w14:textId="2801CB9D" w:rsidR="001D30E6" w:rsidRPr="008518BA" w:rsidRDefault="001D30E6" w:rsidP="0001246B">
      <w:pPr>
        <w:pStyle w:val="ListParagraph"/>
        <w:numPr>
          <w:ilvl w:val="0"/>
          <w:numId w:val="13"/>
        </w:numPr>
        <w:rPr>
          <w:rFonts w:ascii="Times New Roman" w:hAnsi="Times New Roman"/>
          <w:b/>
          <w:bCs/>
          <w:szCs w:val="22"/>
        </w:rPr>
      </w:pPr>
      <w:r>
        <w:rPr>
          <w:rFonts w:ascii="Times New Roman" w:hAnsi="Times New Roman"/>
          <w:b/>
          <w:bCs/>
          <w:szCs w:val="22"/>
        </w:rPr>
        <w:t xml:space="preserve">CMS should </w:t>
      </w:r>
      <w:r w:rsidR="006B2C6F">
        <w:rPr>
          <w:rFonts w:ascii="Times New Roman" w:hAnsi="Times New Roman"/>
          <w:b/>
          <w:bCs/>
          <w:szCs w:val="22"/>
        </w:rPr>
        <w:t xml:space="preserve">consider the negative and disruptive financial impacts of its proposed wage index changes and case mix weight recalibrations </w:t>
      </w:r>
      <w:r w:rsidR="00AB42A5">
        <w:rPr>
          <w:rFonts w:ascii="Times New Roman" w:hAnsi="Times New Roman"/>
          <w:b/>
          <w:bCs/>
          <w:szCs w:val="22"/>
        </w:rPr>
        <w:t>on care access as it finalizes the 202</w:t>
      </w:r>
      <w:r w:rsidR="000770CE">
        <w:rPr>
          <w:rFonts w:ascii="Times New Roman" w:hAnsi="Times New Roman"/>
          <w:b/>
          <w:bCs/>
          <w:szCs w:val="22"/>
        </w:rPr>
        <w:t>5</w:t>
      </w:r>
      <w:r w:rsidR="00AB42A5">
        <w:rPr>
          <w:rFonts w:ascii="Times New Roman" w:hAnsi="Times New Roman"/>
          <w:b/>
          <w:bCs/>
          <w:szCs w:val="22"/>
        </w:rPr>
        <w:t xml:space="preserve"> payment rates and any systemic reforms.</w:t>
      </w:r>
    </w:p>
    <w:p w14:paraId="3492EB59" w14:textId="4F29FC79" w:rsidR="001D4AAA" w:rsidRDefault="005B33DF" w:rsidP="00C32627">
      <w:pPr>
        <w:rPr>
          <w:rFonts w:ascii="Times New Roman" w:hAnsi="Times New Roman"/>
          <w:szCs w:val="22"/>
        </w:rPr>
      </w:pPr>
      <w:r>
        <w:rPr>
          <w:rFonts w:ascii="Times New Roman" w:hAnsi="Times New Roman"/>
          <w:szCs w:val="22"/>
        </w:rPr>
        <w:t xml:space="preserve"> </w:t>
      </w:r>
      <w:r w:rsidR="006A6E84">
        <w:rPr>
          <w:rFonts w:ascii="Times New Roman" w:hAnsi="Times New Roman"/>
          <w:szCs w:val="22"/>
        </w:rPr>
        <w:t xml:space="preserve"> </w:t>
      </w:r>
      <w:r w:rsidR="00402FD8">
        <w:rPr>
          <w:rFonts w:ascii="Times New Roman" w:hAnsi="Times New Roman"/>
          <w:szCs w:val="22"/>
        </w:rPr>
        <w:t xml:space="preserve"> </w:t>
      </w:r>
      <w:r w:rsidR="00921254">
        <w:rPr>
          <w:rFonts w:ascii="Times New Roman" w:hAnsi="Times New Roman"/>
          <w:szCs w:val="22"/>
        </w:rPr>
        <w:t xml:space="preserve"> </w:t>
      </w:r>
    </w:p>
    <w:p w14:paraId="0A0CBBA3" w14:textId="77777777" w:rsidR="00EC26C9" w:rsidRDefault="00EC26C9" w:rsidP="00C32627">
      <w:pPr>
        <w:rPr>
          <w:rFonts w:ascii="Times New Roman" w:hAnsi="Times New Roman"/>
          <w:szCs w:val="22"/>
        </w:rPr>
      </w:pPr>
    </w:p>
    <w:p w14:paraId="524A072D" w14:textId="513F7232" w:rsidR="00840379" w:rsidRPr="00840379" w:rsidRDefault="00DC0D2F" w:rsidP="00C32627">
      <w:pPr>
        <w:rPr>
          <w:rFonts w:ascii="Times New Roman" w:hAnsi="Times New Roman"/>
          <w:b/>
          <w:bCs/>
          <w:szCs w:val="22"/>
        </w:rPr>
      </w:pPr>
      <w:r>
        <w:rPr>
          <w:rFonts w:ascii="Times New Roman" w:hAnsi="Times New Roman"/>
          <w:szCs w:val="22"/>
        </w:rPr>
        <w:t xml:space="preserve"> </w:t>
      </w:r>
      <w:r w:rsidR="00840379">
        <w:rPr>
          <w:rFonts w:ascii="Times New Roman" w:hAnsi="Times New Roman"/>
          <w:b/>
          <w:bCs/>
          <w:szCs w:val="22"/>
        </w:rPr>
        <w:t xml:space="preserve"> </w:t>
      </w:r>
    </w:p>
    <w:p w14:paraId="38627702" w14:textId="77777777" w:rsidR="003034D3" w:rsidRDefault="003034D3" w:rsidP="003E60B2">
      <w:pPr>
        <w:spacing w:after="160" w:line="259" w:lineRule="auto"/>
        <w:rPr>
          <w:rFonts w:ascii="Times New Roman" w:eastAsiaTheme="minorHAnsi" w:hAnsi="Times New Roman"/>
          <w:b/>
          <w:bCs/>
          <w:kern w:val="2"/>
          <w:szCs w:val="22"/>
          <w14:ligatures w14:val="standardContextual"/>
        </w:rPr>
      </w:pPr>
    </w:p>
    <w:p w14:paraId="0C9F6090" w14:textId="63E8181A" w:rsidR="000770CE" w:rsidRDefault="00C65273" w:rsidP="003E60B2">
      <w:pPr>
        <w:spacing w:after="160" w:line="259" w:lineRule="auto"/>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ADD OTHER COMMENTS</w:t>
      </w:r>
    </w:p>
    <w:p w14:paraId="63A5FD2A" w14:textId="77777777" w:rsidR="00D216DF" w:rsidRDefault="00D216DF" w:rsidP="00D216DF">
      <w:pPr>
        <w:rPr>
          <w:rFonts w:ascii="Times New Roman" w:hAnsi="Times New Roman"/>
          <w:b/>
          <w:bCs/>
        </w:rPr>
      </w:pPr>
      <w:r>
        <w:rPr>
          <w:rFonts w:ascii="Times New Roman" w:hAnsi="Times New Roman"/>
          <w:b/>
          <w:bCs/>
        </w:rPr>
        <w:t>III. Home Health Quality Reporting Program (HH QRP)</w:t>
      </w:r>
    </w:p>
    <w:p w14:paraId="71EE19DA" w14:textId="77777777" w:rsidR="00D216DF" w:rsidRDefault="00D216DF" w:rsidP="00D216DF">
      <w:pPr>
        <w:rPr>
          <w:rFonts w:ascii="Times New Roman" w:hAnsi="Times New Roman"/>
          <w:b/>
          <w:bCs/>
        </w:rPr>
      </w:pPr>
      <w:r>
        <w:rPr>
          <w:rFonts w:ascii="Times New Roman" w:hAnsi="Times New Roman"/>
          <w:b/>
          <w:bCs/>
        </w:rPr>
        <w:lastRenderedPageBreak/>
        <w:t>D. Proposal To Collect Four New Items as Standardized Patient Assessment Data Elements and Modify One Item Collected as a Standardized Patient Assessment Data Element Beginning With the CY 2027 HH QRP.</w:t>
      </w:r>
    </w:p>
    <w:p w14:paraId="5662B8FB" w14:textId="77777777" w:rsidR="00D216DF" w:rsidRDefault="00D216DF" w:rsidP="00D216DF">
      <w:pPr>
        <w:rPr>
          <w:rFonts w:ascii="Times New Roman" w:hAnsi="Times New Roman"/>
        </w:rPr>
      </w:pPr>
      <w:r>
        <w:rPr>
          <w:rFonts w:ascii="Times New Roman" w:hAnsi="Times New Roman"/>
        </w:rPr>
        <w:t xml:space="preserve">CMS proposes collecting one item that addresses living situation, two food items, and one for utilities, along with a proposal to modify the currently collected transportation assessment item using the Outcome and Assessment Information Set (OASIS) data set.  The Alliance supports collecting these additional social determinants of health (SDOH) data items. Although HHAs consider these SDOH for effective care planning, there is no standardized mechanism for collecting and reporting the data, which could provide valuable information for HH QRP and other federal programs.  CMS might want to consider in future rulemaking to include the AHC HRSN core questions screening tool within the post-acute care (PAC) assessment instruments if there are plans  to continue to propose and adopt items from the tool. </w:t>
      </w:r>
    </w:p>
    <w:p w14:paraId="245F4788" w14:textId="77777777" w:rsidR="00D216DF" w:rsidRDefault="00D216DF" w:rsidP="00D216DF">
      <w:pPr>
        <w:rPr>
          <w:rFonts w:ascii="Times New Roman" w:hAnsi="Times New Roman"/>
        </w:rPr>
      </w:pPr>
      <w:r>
        <w:rPr>
          <w:rFonts w:ascii="Times New Roman" w:hAnsi="Times New Roman"/>
        </w:rPr>
        <w:t xml:space="preserve">However, we have concerns with the frequency that CMS has modified the HH QRP necessitating updates to the OASIS data set over the last several years. The addition of the proposed new and modified items will require yet another revision of the OASIS data set to be issued sometime in 2026 to accommodate the January 1, 2027, proposed collection date. </w:t>
      </w:r>
    </w:p>
    <w:p w14:paraId="7647F7C8" w14:textId="77777777" w:rsidR="00D216DF" w:rsidRDefault="00D216DF" w:rsidP="00D216DF">
      <w:pPr>
        <w:rPr>
          <w:rFonts w:ascii="Times New Roman" w:hAnsi="Times New Roman"/>
        </w:rPr>
      </w:pPr>
      <w:r>
        <w:rPr>
          <w:rFonts w:ascii="Times New Roman" w:hAnsi="Times New Roman"/>
        </w:rPr>
        <w:t>Since the implementation of the Improving Medicare Post - Acute Care Transformation (IMPACT) Act there have been multiple revisions to the OASIS data set to accommodate the development of standardized assessment items and cross setting measures as required by the Act. HHAs have had to adjust to a revised OASIS data set and instructions in 2019, 2020, and 2023</w:t>
      </w:r>
      <w:r>
        <w:rPr>
          <w:rStyle w:val="FootnoteReference"/>
          <w:rFonts w:ascii="Times New Roman" w:hAnsi="Times New Roman"/>
        </w:rPr>
        <w:footnoteReference w:id="1"/>
      </w:r>
      <w:r>
        <w:rPr>
          <w:rFonts w:ascii="Times New Roman" w:hAnsi="Times New Roman"/>
        </w:rPr>
        <w:t xml:space="preserve">. The last revision related to the IMPACT Act requirements was implemented in 2023 (OASIS E). However, CMS continued to implement additional changes to the HH QRP requiring another revision to the OASIS data set, effective January 1, 2025. CMS, again, is proposing additional changes to be implemented in 2027.  </w:t>
      </w:r>
    </w:p>
    <w:p w14:paraId="41F9A985" w14:textId="77777777" w:rsidR="00D216DF" w:rsidRDefault="00D216DF" w:rsidP="00D216DF">
      <w:pPr>
        <w:pStyle w:val="NormalWeb"/>
        <w:spacing w:after="0" w:line="276" w:lineRule="auto"/>
        <w:rPr>
          <w:sz w:val="20"/>
          <w:szCs w:val="20"/>
        </w:rPr>
      </w:pPr>
      <w:r>
        <w:rPr>
          <w:sz w:val="20"/>
          <w:szCs w:val="20"/>
        </w:rPr>
        <w:t xml:space="preserve">Changes to the OASIS data set, even small changes, </w:t>
      </w:r>
      <w:r>
        <w:rPr>
          <w:color w:val="222222"/>
          <w:sz w:val="20"/>
          <w:szCs w:val="20"/>
        </w:rPr>
        <w:t xml:space="preserve">increase resource use for agencies in terms of staff training, coordination with vendors, and altered productivity associated with the learning curve required for collecting new material. The burden is magnified by increased rate cuts and a protracted workforce shortage.  Also, the addition of assessment items without modifications to reduce the data set </w:t>
      </w:r>
      <w:r>
        <w:rPr>
          <w:sz w:val="20"/>
          <w:szCs w:val="20"/>
        </w:rPr>
        <w:t xml:space="preserve">could result in a very lengthy assessment tool. </w:t>
      </w:r>
    </w:p>
    <w:p w14:paraId="21E92285" w14:textId="77777777" w:rsidR="00D216DF" w:rsidRDefault="00D216DF" w:rsidP="00D216DF">
      <w:pPr>
        <w:pStyle w:val="NormalWeb"/>
        <w:spacing w:after="0" w:line="276" w:lineRule="auto"/>
        <w:rPr>
          <w:sz w:val="20"/>
          <w:szCs w:val="20"/>
        </w:rPr>
      </w:pPr>
    </w:p>
    <w:p w14:paraId="07DDFB92" w14:textId="77777777" w:rsidR="00D216DF" w:rsidRDefault="00D216DF" w:rsidP="00D216DF">
      <w:pPr>
        <w:rPr>
          <w:rFonts w:ascii="Times New Roman" w:hAnsi="Times New Roman"/>
          <w:sz w:val="20"/>
        </w:rPr>
      </w:pPr>
      <w:r>
        <w:rPr>
          <w:rFonts w:ascii="Times New Roman" w:hAnsi="Times New Roman"/>
        </w:rPr>
        <w:t>An additional concern with frequent changes to the HH QRP is the delay in data reporting for HHAs. HHAs have consistently been the last of the PAC settings subject to the IMPACT Act to have their data set modified for cross setting assessment items and quality measures.  CMS has convened technical expert panels to address inclusion/exclusion of cross setting assessment items and measures based on data derived from the other PAC settings without the home health data being accessible to the participants or the home health agencies themselves.</w:t>
      </w:r>
    </w:p>
    <w:p w14:paraId="6A08CCCE" w14:textId="77777777" w:rsidR="00D216DF" w:rsidRDefault="00D216DF" w:rsidP="00D216DF">
      <w:pPr>
        <w:rPr>
          <w:rFonts w:ascii="Times New Roman" w:hAnsi="Times New Roman"/>
        </w:rPr>
      </w:pPr>
    </w:p>
    <w:p w14:paraId="6EA5E096" w14:textId="77777777" w:rsidR="00D216DF" w:rsidRDefault="00D216DF" w:rsidP="00D216DF">
      <w:pPr>
        <w:rPr>
          <w:rFonts w:ascii="Times New Roman" w:hAnsi="Times New Roman"/>
          <w:bCs/>
        </w:rPr>
      </w:pPr>
      <w:r>
        <w:rPr>
          <w:rFonts w:ascii="Times New Roman" w:hAnsi="Times New Roman"/>
          <w:b/>
        </w:rPr>
        <w:t>Recommendations:</w:t>
      </w:r>
      <w:r>
        <w:rPr>
          <w:rFonts w:ascii="Times New Roman" w:hAnsi="Times New Roman"/>
          <w:bCs/>
        </w:rPr>
        <w:t xml:space="preserve"> CMS should:</w:t>
      </w:r>
    </w:p>
    <w:p w14:paraId="6CA5CDF4" w14:textId="77777777" w:rsidR="00D216DF" w:rsidRDefault="00D216DF" w:rsidP="00D216DF">
      <w:pPr>
        <w:pStyle w:val="NormalWeb"/>
        <w:numPr>
          <w:ilvl w:val="0"/>
          <w:numId w:val="40"/>
        </w:numPr>
        <w:spacing w:before="0" w:beforeAutospacing="0" w:after="0" w:afterAutospacing="0" w:line="276" w:lineRule="auto"/>
        <w:rPr>
          <w:sz w:val="20"/>
          <w:szCs w:val="20"/>
        </w:rPr>
      </w:pPr>
      <w:r>
        <w:rPr>
          <w:bCs/>
          <w:sz w:val="20"/>
          <w:szCs w:val="20"/>
        </w:rPr>
        <w:t xml:space="preserve">Limit revisions to the OASIS data set to intervals no less than 4 years from the last revision. </w:t>
      </w:r>
    </w:p>
    <w:p w14:paraId="2FDB0666" w14:textId="77777777" w:rsidR="00D216DF" w:rsidRDefault="00D216DF" w:rsidP="00D216DF">
      <w:pPr>
        <w:pStyle w:val="NormalWeb"/>
        <w:numPr>
          <w:ilvl w:val="0"/>
          <w:numId w:val="40"/>
        </w:numPr>
        <w:spacing w:before="0" w:beforeAutospacing="0" w:after="0" w:afterAutospacing="0" w:line="276" w:lineRule="auto"/>
        <w:rPr>
          <w:sz w:val="20"/>
          <w:szCs w:val="20"/>
        </w:rPr>
      </w:pPr>
      <w:r>
        <w:rPr>
          <w:bCs/>
          <w:sz w:val="20"/>
          <w:szCs w:val="20"/>
        </w:rPr>
        <w:t xml:space="preserve">Considered imbedding the AHC-HRSN core question screening tool into the PAC assessments if feasible.  </w:t>
      </w:r>
    </w:p>
    <w:p w14:paraId="00913B2B" w14:textId="77777777" w:rsidR="00D216DF" w:rsidRDefault="00D216DF" w:rsidP="00D216DF">
      <w:pPr>
        <w:pStyle w:val="NormalWeb"/>
        <w:numPr>
          <w:ilvl w:val="0"/>
          <w:numId w:val="40"/>
        </w:numPr>
        <w:spacing w:before="0" w:beforeAutospacing="0" w:after="0" w:afterAutospacing="0" w:line="276" w:lineRule="auto"/>
        <w:rPr>
          <w:sz w:val="20"/>
          <w:szCs w:val="20"/>
        </w:rPr>
      </w:pPr>
      <w:r>
        <w:rPr>
          <w:bCs/>
          <w:sz w:val="20"/>
          <w:szCs w:val="20"/>
        </w:rPr>
        <w:t xml:space="preserve">Monitor additions to the OASIS data set to ensure that the tool is manageable for HHAs.  </w:t>
      </w:r>
    </w:p>
    <w:p w14:paraId="5E97985E" w14:textId="77777777" w:rsidR="00D216DF" w:rsidRDefault="00D216DF" w:rsidP="00D216DF">
      <w:pPr>
        <w:pStyle w:val="NormalWeb"/>
        <w:numPr>
          <w:ilvl w:val="0"/>
          <w:numId w:val="40"/>
        </w:numPr>
        <w:spacing w:before="0" w:beforeAutospacing="0" w:after="0" w:afterAutospacing="0" w:line="276" w:lineRule="auto"/>
        <w:rPr>
          <w:sz w:val="20"/>
          <w:szCs w:val="20"/>
        </w:rPr>
      </w:pPr>
      <w:r>
        <w:rPr>
          <w:bCs/>
          <w:sz w:val="20"/>
          <w:szCs w:val="20"/>
        </w:rPr>
        <w:t xml:space="preserve">Provide sufficient data on HHA quality measures and assessment items prior to implementing any changes in the OASIS data set. </w:t>
      </w:r>
    </w:p>
    <w:p w14:paraId="78BD2D61" w14:textId="77777777" w:rsidR="00D216DF" w:rsidRDefault="00D216DF" w:rsidP="00D216DF">
      <w:pPr>
        <w:pStyle w:val="NormalWeb"/>
        <w:spacing w:after="0" w:line="276" w:lineRule="auto"/>
        <w:rPr>
          <w:bCs/>
          <w:sz w:val="20"/>
          <w:szCs w:val="20"/>
        </w:rPr>
      </w:pPr>
    </w:p>
    <w:p w14:paraId="0C82E8BD" w14:textId="77777777" w:rsidR="00D216DF" w:rsidRDefault="00D216DF" w:rsidP="00D216DF">
      <w:pPr>
        <w:pStyle w:val="NormalWeb"/>
        <w:spacing w:after="0" w:line="276" w:lineRule="auto"/>
        <w:rPr>
          <w:b/>
          <w:bCs/>
          <w:sz w:val="20"/>
          <w:szCs w:val="20"/>
        </w:rPr>
      </w:pPr>
      <w:r>
        <w:rPr>
          <w:b/>
          <w:bCs/>
          <w:sz w:val="20"/>
          <w:szCs w:val="20"/>
        </w:rPr>
        <w:lastRenderedPageBreak/>
        <w:t>G. HH QRP Quality Measure Concepts Under Consideration for Future Years— Request for Information (RFI)</w:t>
      </w:r>
    </w:p>
    <w:p w14:paraId="15274FF0" w14:textId="77777777" w:rsidR="00D216DF" w:rsidRDefault="00D216DF" w:rsidP="00D216DF">
      <w:pPr>
        <w:pStyle w:val="NormalWeb"/>
        <w:spacing w:after="0" w:line="276" w:lineRule="auto"/>
        <w:rPr>
          <w:sz w:val="20"/>
          <w:szCs w:val="20"/>
        </w:rPr>
      </w:pPr>
      <w:r>
        <w:rPr>
          <w:sz w:val="20"/>
          <w:szCs w:val="20"/>
        </w:rPr>
        <w:t>CMS is seeking feedback on four measure concepts that are part of the “Universal Foundation” of quality measures. The measures include immunizations (i.e. Adult Immunization Status measure); depression (i.e. Clinical Screening for Depression and Follow-up measure); pain management; and substance use disorder (i.e. Initiation and Engagement of Substance Use Disorder Treatment measure).</w:t>
      </w:r>
    </w:p>
    <w:p w14:paraId="20326349" w14:textId="77777777" w:rsidR="00D216DF" w:rsidRDefault="00D216DF" w:rsidP="00D216DF">
      <w:pPr>
        <w:pStyle w:val="NormalWeb"/>
        <w:spacing w:after="0" w:line="276" w:lineRule="auto"/>
        <w:rPr>
          <w:b/>
          <w:bCs/>
          <w:sz w:val="20"/>
          <w:szCs w:val="20"/>
        </w:rPr>
      </w:pPr>
    </w:p>
    <w:p w14:paraId="4817AABB" w14:textId="77777777" w:rsidR="00D216DF" w:rsidRDefault="00D216DF" w:rsidP="00D216DF">
      <w:pPr>
        <w:pStyle w:val="NormalWeb"/>
        <w:spacing w:after="0" w:line="276" w:lineRule="auto"/>
        <w:rPr>
          <w:b/>
          <w:bCs/>
          <w:sz w:val="20"/>
          <w:szCs w:val="20"/>
        </w:rPr>
      </w:pPr>
      <w:r>
        <w:rPr>
          <w:b/>
          <w:bCs/>
          <w:sz w:val="20"/>
          <w:szCs w:val="20"/>
        </w:rPr>
        <w:t xml:space="preserve">Immunization - Adult Immunization Status measure: </w:t>
      </w:r>
    </w:p>
    <w:p w14:paraId="4EFD9F26" w14:textId="77777777" w:rsidR="00D216DF" w:rsidRDefault="00D216DF" w:rsidP="00D216DF">
      <w:pPr>
        <w:pStyle w:val="NormalWeb"/>
        <w:spacing w:after="0" w:line="276" w:lineRule="auto"/>
        <w:rPr>
          <w:sz w:val="20"/>
          <w:szCs w:val="20"/>
        </w:rPr>
      </w:pPr>
      <w:r>
        <w:rPr>
          <w:sz w:val="20"/>
          <w:szCs w:val="20"/>
        </w:rPr>
        <w:t xml:space="preserve">The recommended measure for the immunization concept includes the following vaccine rates and reasons for not receiving the vaccine.  </w:t>
      </w:r>
    </w:p>
    <w:p w14:paraId="72CF5F20" w14:textId="77777777" w:rsidR="00D216DF" w:rsidRDefault="00D216DF" w:rsidP="00D216DF">
      <w:pPr>
        <w:pStyle w:val="NormalWeb"/>
        <w:spacing w:after="0" w:line="276" w:lineRule="auto"/>
        <w:ind w:left="720"/>
        <w:rPr>
          <w:sz w:val="20"/>
          <w:szCs w:val="20"/>
        </w:rPr>
      </w:pPr>
      <w:r>
        <w:rPr>
          <w:sz w:val="20"/>
          <w:szCs w:val="20"/>
        </w:rPr>
        <w:t xml:space="preserve">Four individual vaccine rates: 1. Influenza rate: Beneficiaries who received an influenza vaccine on or between July 1 of the year prior to the Measurement Period and June 30 of the Measurement Period. 2. Td/Tdap rate: a. Beneficiaries who received at least one Td vaccine or one Tdap vaccine between nine years prior to the start of the Measurement Period and the end of the Measurement Period, or b. Members with a history of at least one of the following contraindications any time before or during the Measurement Period: </w:t>
      </w:r>
      <w:proofErr w:type="spellStart"/>
      <w:r>
        <w:rPr>
          <w:sz w:val="20"/>
          <w:szCs w:val="20"/>
        </w:rPr>
        <w:t>i</w:t>
      </w:r>
      <w:proofErr w:type="spellEnd"/>
      <w:r>
        <w:rPr>
          <w:sz w:val="20"/>
          <w:szCs w:val="20"/>
        </w:rPr>
        <w:t xml:space="preserve">. Anaphylaxis due to the diphtheria, tetanus, or pertussis vaccine. ii. Encephalitis due to the diphtheria, tetanus, or pertussis vaccine. 3. Zoster rate: Beneficiaries who received at least one dose of the herpes zoster live vaccine or two doses of the herpes zoster recombinant vaccine at least 28 days apart, anytime on or after the beneficiary's 50th birthday and before or during the Measurement Period, or beneficiaries with anaphylaxis due to the herpes zoster vaccine any time before or during the measurement period. 4. Pneumococcal rate. Beneficiaries who were administered at least one dose of adult pneumococcal vaccine on or after their 19th birthday and before or during the measurement period, or beneficiaries with anaphylaxis due to the pneumococcal vaccine any time before or during the measurement period. </w:t>
      </w:r>
    </w:p>
    <w:p w14:paraId="1881452A" w14:textId="77777777" w:rsidR="00D216DF" w:rsidRDefault="00D216DF" w:rsidP="00D216DF">
      <w:pPr>
        <w:pStyle w:val="NormalWeb"/>
        <w:spacing w:after="0" w:line="276" w:lineRule="auto"/>
        <w:ind w:left="720"/>
        <w:rPr>
          <w:sz w:val="20"/>
          <w:szCs w:val="20"/>
        </w:rPr>
      </w:pPr>
    </w:p>
    <w:p w14:paraId="32471D86" w14:textId="77777777" w:rsidR="00D216DF" w:rsidRDefault="00D216DF" w:rsidP="00D216DF">
      <w:pPr>
        <w:pStyle w:val="NormalWeb"/>
        <w:spacing w:after="0" w:line="276" w:lineRule="auto"/>
        <w:ind w:left="90"/>
        <w:rPr>
          <w:sz w:val="20"/>
          <w:szCs w:val="20"/>
        </w:rPr>
      </w:pPr>
      <w:r>
        <w:rPr>
          <w:sz w:val="20"/>
          <w:szCs w:val="20"/>
        </w:rPr>
        <w:t>HHAs would not have access to information on the multiple vaccination status of patients without a tremendous amount of research across a patient’s medical records and /or interviews with practitioners familiar with the patient.   HHAs will likely have to rely on the patient’s recall of their vaccination status, leading to inaccurate or misleading responses. The burden for HHAs to collect multiple vaccine rates far out weights any benefit that could be derived from collecting the information. Additionally, many of the provider representatives on the</w:t>
      </w:r>
      <w:r>
        <w:rPr>
          <w:i/>
          <w:iCs/>
          <w:sz w:val="20"/>
          <w:szCs w:val="20"/>
        </w:rPr>
        <w:t xml:space="preserve"> </w:t>
      </w:r>
      <w:r>
        <w:rPr>
          <w:sz w:val="20"/>
          <w:szCs w:val="20"/>
        </w:rPr>
        <w:t>Post-Acute Care (PAC) and Hospice Quality Reporting Program Cross-Setting Technical Expert Panel</w:t>
      </w:r>
      <w:r>
        <w:rPr>
          <w:rStyle w:val="FootnoteReference"/>
          <w:sz w:val="20"/>
          <w:szCs w:val="20"/>
        </w:rPr>
        <w:footnoteReference w:id="2"/>
      </w:r>
      <w:r>
        <w:rPr>
          <w:sz w:val="20"/>
          <w:szCs w:val="20"/>
        </w:rPr>
        <w:t xml:space="preserve"> did not support the measure for the reasons associated with the burden to collect the information.  Therefore, we believe that the measure concept, as proposed, is not appropriate for the home health setting from a practicable standpoint.  </w:t>
      </w:r>
    </w:p>
    <w:p w14:paraId="6D44592C" w14:textId="77777777" w:rsidR="00D216DF" w:rsidRDefault="00D216DF" w:rsidP="00D216DF">
      <w:pPr>
        <w:pStyle w:val="NormalWeb"/>
        <w:spacing w:after="0" w:line="276" w:lineRule="auto"/>
        <w:ind w:left="90"/>
      </w:pPr>
    </w:p>
    <w:p w14:paraId="721DCF5D" w14:textId="77777777" w:rsidR="00D216DF" w:rsidRDefault="00D216DF" w:rsidP="00D216DF">
      <w:pPr>
        <w:pStyle w:val="NormalWeb"/>
        <w:spacing w:after="0" w:line="276" w:lineRule="auto"/>
        <w:ind w:left="90" w:hanging="90"/>
        <w:rPr>
          <w:sz w:val="20"/>
          <w:szCs w:val="20"/>
        </w:rPr>
      </w:pPr>
      <w:r>
        <w:rPr>
          <w:b/>
          <w:bCs/>
          <w:sz w:val="20"/>
          <w:szCs w:val="20"/>
        </w:rPr>
        <w:lastRenderedPageBreak/>
        <w:t>Recommendation:</w:t>
      </w:r>
      <w:r>
        <w:rPr>
          <w:sz w:val="20"/>
          <w:szCs w:val="20"/>
        </w:rPr>
        <w:t xml:space="preserve"> CMS should not consider including in the HH QRP the “Adult Immunization Status” measure, or any similar measure related to vaccinations that requires extensive review of data sources. </w:t>
      </w:r>
    </w:p>
    <w:p w14:paraId="7CA90FA7" w14:textId="77777777" w:rsidR="00D216DF" w:rsidRDefault="00D216DF" w:rsidP="00D216DF">
      <w:pPr>
        <w:pStyle w:val="NormalWeb"/>
        <w:spacing w:after="0" w:line="276" w:lineRule="auto"/>
        <w:ind w:left="90" w:hanging="90"/>
        <w:rPr>
          <w:sz w:val="20"/>
          <w:szCs w:val="20"/>
        </w:rPr>
      </w:pPr>
    </w:p>
    <w:p w14:paraId="7CCA7705" w14:textId="77777777" w:rsidR="00D216DF" w:rsidRDefault="00D216DF" w:rsidP="00D216DF">
      <w:pPr>
        <w:rPr>
          <w:rFonts w:ascii="Times New Roman" w:hAnsi="Times New Roman"/>
          <w:b/>
          <w:bCs/>
          <w:sz w:val="20"/>
        </w:rPr>
      </w:pPr>
      <w:r>
        <w:rPr>
          <w:rFonts w:ascii="Times New Roman" w:hAnsi="Times New Roman"/>
          <w:b/>
          <w:bCs/>
        </w:rPr>
        <w:t xml:space="preserve">Depression- (i.e. Clinical Screening for Depression and Follow-up measure) </w:t>
      </w:r>
    </w:p>
    <w:p w14:paraId="7E44F6AB" w14:textId="77777777" w:rsidR="00D216DF" w:rsidRDefault="00D216DF" w:rsidP="00D216DF">
      <w:pPr>
        <w:rPr>
          <w:rFonts w:ascii="Times New Roman" w:hAnsi="Times New Roman"/>
        </w:rPr>
      </w:pPr>
      <w:r>
        <w:rPr>
          <w:rFonts w:ascii="Times New Roman" w:eastAsiaTheme="minorHAnsi" w:hAnsi="Times New Roman"/>
          <w:kern w:val="2"/>
          <w:szCs w:val="22"/>
          <w14:ligatures w14:val="standardContextual"/>
        </w:rPr>
        <w:t>The typical HHA is not set up to treat patients presenting with depression. I</w:t>
      </w:r>
      <w:r>
        <w:rPr>
          <w:rFonts w:ascii="Times New Roman" w:hAnsi="Times New Roman"/>
        </w:rPr>
        <w:t>nterventions to address a positive depression screen would not be within the HHAs control to facilitate without significant resources and an infrastructure to address a depression diagnosis. Additionally, h</w:t>
      </w:r>
      <w:r>
        <w:rPr>
          <w:rFonts w:ascii="Times New Roman" w:eastAsiaTheme="minorHAnsi" w:hAnsi="Times New Roman"/>
          <w:kern w:val="2"/>
          <w:szCs w:val="22"/>
          <w14:ligatures w14:val="standardContextual"/>
        </w:rPr>
        <w:t xml:space="preserve">ome health patients are often discharged from services before any outcomes through community referrals can be realized. </w:t>
      </w:r>
    </w:p>
    <w:p w14:paraId="36B80811" w14:textId="77777777" w:rsidR="00D216DF" w:rsidRDefault="00D216DF" w:rsidP="00D216DF">
      <w:pPr>
        <w:rPr>
          <w:rFonts w:ascii="Times New Roman" w:hAnsi="Times New Roman"/>
        </w:rPr>
      </w:pPr>
    </w:p>
    <w:p w14:paraId="4D1A3716" w14:textId="77777777" w:rsidR="00D216DF" w:rsidRDefault="00D216DF" w:rsidP="00D216DF">
      <w:pPr>
        <w:rPr>
          <w:rFonts w:ascii="Times New Roman" w:hAnsi="Times New Roman"/>
        </w:rPr>
      </w:pPr>
      <w:r>
        <w:rPr>
          <w:rFonts w:ascii="Times New Roman" w:hAnsi="Times New Roman"/>
        </w:rPr>
        <w:t xml:space="preserve">If CMS were to include a measure for depression screening and follow-up, the follow-up would need to be limited to a referral to the patient’s PCP for further interventions.  HHAs cannot be expected to provide intervention aimed directly at treating depression such as pharmacological interventions or other follow-up that involves long term planning. </w:t>
      </w:r>
    </w:p>
    <w:p w14:paraId="01C028B4" w14:textId="77777777" w:rsidR="00D216DF" w:rsidRDefault="00D216DF" w:rsidP="00D216DF">
      <w:pPr>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 xml:space="preserve"> </w:t>
      </w:r>
    </w:p>
    <w:p w14:paraId="43E62F79" w14:textId="77777777" w:rsidR="00D216DF" w:rsidRDefault="00D216DF" w:rsidP="00D216DF">
      <w:pPr>
        <w:rPr>
          <w:rFonts w:ascii="Times New Roman" w:eastAsiaTheme="minorHAnsi" w:hAnsi="Times New Roman"/>
          <w:kern w:val="2"/>
          <w:szCs w:val="22"/>
          <w14:ligatures w14:val="standardContextual"/>
        </w:rPr>
      </w:pPr>
      <w:r>
        <w:rPr>
          <w:rFonts w:ascii="Times New Roman" w:eastAsiaTheme="minorHAnsi" w:hAnsi="Times New Roman"/>
          <w:b/>
          <w:bCs/>
          <w:kern w:val="2"/>
          <w:szCs w:val="22"/>
          <w14:ligatures w14:val="standardContextual"/>
        </w:rPr>
        <w:t>Recommendation</w:t>
      </w:r>
      <w:r>
        <w:rPr>
          <w:rFonts w:ascii="Times New Roman" w:eastAsiaTheme="minorHAnsi" w:hAnsi="Times New Roman"/>
          <w:kern w:val="2"/>
          <w:szCs w:val="22"/>
          <w14:ligatures w14:val="standardContextual"/>
        </w:rPr>
        <w:t xml:space="preserve">: CMS must consider the limitations for HHAs to address a depression diagnosis when considering the measure concept for the HH QRP   </w:t>
      </w:r>
    </w:p>
    <w:p w14:paraId="70B803A2" w14:textId="77777777" w:rsidR="00D216DF" w:rsidRDefault="00D216DF" w:rsidP="00D216DF">
      <w:pPr>
        <w:rPr>
          <w:rFonts w:ascii="Times New Roman" w:eastAsiaTheme="minorEastAsia" w:hAnsi="Times New Roman"/>
          <w:b/>
          <w:bCs/>
        </w:rPr>
      </w:pPr>
    </w:p>
    <w:p w14:paraId="5E70440D" w14:textId="77777777" w:rsidR="00D216DF" w:rsidRDefault="00D216DF" w:rsidP="00D216DF">
      <w:pPr>
        <w:rPr>
          <w:rFonts w:ascii="Times New Roman" w:hAnsi="Times New Roman"/>
          <w:b/>
          <w:bCs/>
        </w:rPr>
      </w:pPr>
      <w:r>
        <w:rPr>
          <w:rFonts w:ascii="Times New Roman" w:hAnsi="Times New Roman"/>
          <w:b/>
          <w:bCs/>
        </w:rPr>
        <w:t>Substance use disorder ( i.e. Initiation and Engagement of Substance Use Disorder Treatment measure).</w:t>
      </w:r>
    </w:p>
    <w:p w14:paraId="13EF9DA3" w14:textId="77777777" w:rsidR="00D216DF" w:rsidRDefault="00D216DF" w:rsidP="00D216DF">
      <w:pPr>
        <w:rPr>
          <w:rFonts w:ascii="Times New Roman" w:hAnsi="Times New Roman"/>
        </w:rPr>
      </w:pPr>
      <w:r>
        <w:rPr>
          <w:rFonts w:ascii="Times New Roman" w:hAnsi="Times New Roman"/>
        </w:rPr>
        <w:t xml:space="preserve">Like the depression diagnosis, HHAs are not set up to address patients with a substance use disorders (SUD), either as a primary or secondary diagnosis. HHAs are even less likely to accept a patient onto service with an active SUD due to their inability to effectively provide interventions or ensure that community support is available for the treatment of the disorder. Patients with a SUD require interventions provided by specially trained clinicians to treat SUD, along with intensive therapies.  There is a known shortage of these clinicians and programs within most communities, and the typical HHA does not have specialty trained clinicians on staff.  A HHAs would have limited control over the availability of such programs much less the interventions provided.  Additionally, there is no data source currently available that captures SUD and interventions for home health patients, therefore, an added burden will be created for agencies to collect and report data needed for the measure concept.  </w:t>
      </w:r>
    </w:p>
    <w:p w14:paraId="6A7F33CE" w14:textId="77777777" w:rsidR="00D216DF" w:rsidRDefault="00D216DF" w:rsidP="00D216DF">
      <w:pPr>
        <w:pStyle w:val="NormalWeb"/>
        <w:spacing w:after="0" w:line="276" w:lineRule="auto"/>
        <w:rPr>
          <w:sz w:val="20"/>
          <w:szCs w:val="20"/>
        </w:rPr>
      </w:pPr>
    </w:p>
    <w:p w14:paraId="2CF34B84" w14:textId="77777777" w:rsidR="00D216DF" w:rsidRDefault="00D216DF" w:rsidP="00D216DF">
      <w:pPr>
        <w:pStyle w:val="NormalWeb"/>
        <w:spacing w:after="0" w:line="276" w:lineRule="auto"/>
        <w:rPr>
          <w:sz w:val="20"/>
          <w:szCs w:val="20"/>
        </w:rPr>
      </w:pPr>
      <w:r>
        <w:rPr>
          <w:sz w:val="20"/>
          <w:szCs w:val="20"/>
        </w:rPr>
        <w:t xml:space="preserve">As such, a measure concept for patients with SUD in the home health setting is not appropriate, particularly as described in the suggested measure for this concept. </w:t>
      </w:r>
    </w:p>
    <w:p w14:paraId="0CA4CD17" w14:textId="77777777" w:rsidR="00D216DF" w:rsidRDefault="00D216DF" w:rsidP="00D216DF">
      <w:pPr>
        <w:pStyle w:val="NormalWeb"/>
        <w:spacing w:after="0" w:line="276" w:lineRule="auto"/>
        <w:rPr>
          <w:b/>
          <w:bCs/>
          <w:sz w:val="20"/>
          <w:szCs w:val="20"/>
        </w:rPr>
      </w:pPr>
      <w:r>
        <w:rPr>
          <w:b/>
          <w:bCs/>
          <w:sz w:val="20"/>
          <w:szCs w:val="20"/>
        </w:rPr>
        <w:t xml:space="preserve">Initiation and Engagement of Substance Use Disorder Treatment -measure description </w:t>
      </w:r>
    </w:p>
    <w:p w14:paraId="295C9F6F" w14:textId="77777777" w:rsidR="00D216DF" w:rsidRDefault="00D216DF" w:rsidP="00D216DF">
      <w:pPr>
        <w:pStyle w:val="ListParagraph"/>
        <w:numPr>
          <w:ilvl w:val="0"/>
          <w:numId w:val="41"/>
        </w:numPr>
        <w:spacing w:after="120" w:line="264" w:lineRule="auto"/>
        <w:rPr>
          <w:rFonts w:ascii="Times New Roman" w:hAnsi="Times New Roman"/>
          <w:sz w:val="20"/>
        </w:rPr>
      </w:pPr>
      <w:r>
        <w:rPr>
          <w:rFonts w:ascii="Times New Roman" w:hAnsi="Times New Roman"/>
        </w:rPr>
        <w:t>Percentage of patients 13 years of age and older with a new substance use disorder (SUD) episode who received the following (Two rates are reported):</w:t>
      </w:r>
    </w:p>
    <w:p w14:paraId="615D2204" w14:textId="77777777" w:rsidR="00D216DF" w:rsidRDefault="00D216DF" w:rsidP="00D216DF">
      <w:pPr>
        <w:pStyle w:val="ListParagraph"/>
        <w:numPr>
          <w:ilvl w:val="1"/>
          <w:numId w:val="41"/>
        </w:numPr>
        <w:spacing w:after="120" w:line="264" w:lineRule="auto"/>
        <w:rPr>
          <w:rFonts w:ascii="Times New Roman" w:hAnsi="Times New Roman"/>
        </w:rPr>
      </w:pPr>
      <w:r>
        <w:rPr>
          <w:rFonts w:ascii="Times New Roman" w:hAnsi="Times New Roman"/>
        </w:rPr>
        <w:t>Percentage of patients who initiated treatment, including either an intervention or medication for the treatment of SUD, within 14 days of the new SUD episode.</w:t>
      </w:r>
    </w:p>
    <w:p w14:paraId="4CEED23D" w14:textId="77777777" w:rsidR="00D216DF" w:rsidRDefault="00D216DF" w:rsidP="00D216DF">
      <w:pPr>
        <w:pStyle w:val="ListParagraph"/>
        <w:numPr>
          <w:ilvl w:val="1"/>
          <w:numId w:val="41"/>
        </w:numPr>
        <w:spacing w:after="120" w:line="264" w:lineRule="auto"/>
        <w:rPr>
          <w:rFonts w:ascii="Times New Roman" w:hAnsi="Times New Roman"/>
        </w:rPr>
      </w:pPr>
      <w:r>
        <w:rPr>
          <w:rFonts w:ascii="Times New Roman" w:hAnsi="Times New Roman"/>
        </w:rPr>
        <w:t>Percentage of patients who engaged in ongoing treatment, including two additional interventions or short-term medications, or one long-term medication for the treatment of SUD, within 34 days of the initiation.</w:t>
      </w:r>
    </w:p>
    <w:p w14:paraId="01043F63" w14:textId="77777777" w:rsidR="00D216DF" w:rsidRDefault="00D216DF" w:rsidP="00D216DF">
      <w:pPr>
        <w:rPr>
          <w:rFonts w:ascii="Times New Roman" w:hAnsi="Times New Roman"/>
        </w:rPr>
      </w:pPr>
      <w:r>
        <w:rPr>
          <w:rFonts w:ascii="Times New Roman" w:hAnsi="Times New Roman"/>
          <w:b/>
          <w:bCs/>
        </w:rPr>
        <w:t>Recommendation:</w:t>
      </w:r>
      <w:r>
        <w:rPr>
          <w:rFonts w:ascii="Times New Roman" w:hAnsi="Times New Roman"/>
        </w:rPr>
        <w:t xml:space="preserve"> CMS should not move forward with a measure concept related to SUD for inclusion in the HH QRP. </w:t>
      </w:r>
    </w:p>
    <w:p w14:paraId="1B00688C" w14:textId="77777777" w:rsidR="00D216DF" w:rsidRDefault="00D216DF" w:rsidP="00D216DF">
      <w:pPr>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Pain management</w:t>
      </w:r>
    </w:p>
    <w:p w14:paraId="79B78372" w14:textId="77777777" w:rsidR="00D216DF" w:rsidRDefault="00D216DF" w:rsidP="00D216DF">
      <w:pPr>
        <w:rPr>
          <w:rFonts w:ascii="Times New Roman" w:eastAsiaTheme="minorEastAsia" w:hAnsi="Times New Roman"/>
        </w:rPr>
      </w:pPr>
      <w:r>
        <w:rPr>
          <w:rFonts w:ascii="Times New Roman" w:eastAsiaTheme="minorHAnsi" w:hAnsi="Times New Roman"/>
          <w:kern w:val="2"/>
          <w:szCs w:val="22"/>
          <w14:ligatures w14:val="standardContextual"/>
        </w:rPr>
        <w:lastRenderedPageBreak/>
        <w:t>The Alliance supports performance measures around pain management and has relevance for home health patients. However, CMS removed the improvement in pain management measure from the HH QRP in 2020 due to the opioid crisis.  Therefore, it is unclear what CMS is seeking in terms of a pain management performance measure in the current environment.</w:t>
      </w:r>
    </w:p>
    <w:p w14:paraId="103AA7C9" w14:textId="77777777" w:rsidR="00D216DF" w:rsidRDefault="00D216DF" w:rsidP="00D216DF">
      <w:pPr>
        <w:rPr>
          <w:rFonts w:ascii="Times New Roman" w:hAnsi="Times New Roman"/>
          <w:b/>
          <w:bCs/>
        </w:rPr>
      </w:pPr>
    </w:p>
    <w:p w14:paraId="35439386" w14:textId="77777777" w:rsidR="00D216DF" w:rsidRDefault="00D216DF" w:rsidP="00D216DF">
      <w:pPr>
        <w:rPr>
          <w:rFonts w:ascii="Times New Roman" w:hAnsi="Times New Roman"/>
          <w:b/>
          <w:bCs/>
        </w:rPr>
      </w:pPr>
      <w:r>
        <w:rPr>
          <w:rFonts w:ascii="Times New Roman" w:hAnsi="Times New Roman"/>
          <w:b/>
          <w:bCs/>
        </w:rPr>
        <w:t>IV. The Expanded Home Health Value Based Purchasing (HHVBP) Model</w:t>
      </w:r>
    </w:p>
    <w:p w14:paraId="7C7F5CC9" w14:textId="77777777" w:rsidR="00D216DF" w:rsidRDefault="00D216DF" w:rsidP="00D216DF">
      <w:pPr>
        <w:rPr>
          <w:rFonts w:ascii="Times New Roman" w:hAnsi="Times New Roman"/>
          <w:b/>
          <w:bCs/>
        </w:rPr>
      </w:pPr>
      <w:r>
        <w:rPr>
          <w:rFonts w:ascii="Times New Roman" w:hAnsi="Times New Roman"/>
          <w:b/>
          <w:bCs/>
        </w:rPr>
        <w:t>B. Request for Information on Future Performance Measure Concepts for the Expanded HHVBP Model</w:t>
      </w:r>
    </w:p>
    <w:p w14:paraId="3D177472" w14:textId="77777777" w:rsidR="00D216DF" w:rsidRDefault="00D216DF" w:rsidP="00D216DF">
      <w:pPr>
        <w:rPr>
          <w:rFonts w:ascii="Times New Roman" w:hAnsi="Times New Roman" w:cstheme="minorBidi"/>
        </w:rPr>
      </w:pPr>
      <w:r>
        <w:rPr>
          <w:rFonts w:ascii="Times New Roman" w:hAnsi="Times New Roman"/>
        </w:rPr>
        <w:t>CMS is seeking information on four measure concepts for inclusion in the HHVBP: family caregiver measure; falls with injury (claims-based) measure; Medicare Spending per Beneficiary measure; and function measures to complement existing cross-setting Discharge (DC) Function measure:</w:t>
      </w:r>
    </w:p>
    <w:p w14:paraId="47DB02C5" w14:textId="77777777" w:rsidR="00D216DF" w:rsidRDefault="00D216DF" w:rsidP="00D216DF">
      <w:pPr>
        <w:rPr>
          <w:rFonts w:ascii="Times New Roman" w:hAnsi="Times New Roman"/>
          <w:b/>
          <w:bCs/>
        </w:rPr>
      </w:pPr>
    </w:p>
    <w:p w14:paraId="380612BD" w14:textId="77777777" w:rsidR="00D216DF" w:rsidRDefault="00D216DF" w:rsidP="00D216DF">
      <w:pPr>
        <w:rPr>
          <w:rFonts w:ascii="Times New Roman" w:hAnsi="Times New Roman"/>
          <w:b/>
          <w:bCs/>
        </w:rPr>
      </w:pPr>
      <w:r>
        <w:rPr>
          <w:rFonts w:ascii="Times New Roman" w:hAnsi="Times New Roman"/>
          <w:b/>
          <w:bCs/>
        </w:rPr>
        <w:t>Family Caregiver Measure</w:t>
      </w:r>
    </w:p>
    <w:p w14:paraId="5C09A7F6" w14:textId="77777777" w:rsidR="00D216DF" w:rsidRDefault="00D216DF" w:rsidP="00D216DF">
      <w:pPr>
        <w:rPr>
          <w:rFonts w:ascii="Times New Roman" w:hAnsi="Times New Roman"/>
        </w:rPr>
      </w:pPr>
      <w:r>
        <w:rPr>
          <w:rFonts w:ascii="Times New Roman" w:hAnsi="Times New Roman"/>
        </w:rPr>
        <w:t xml:space="preserve">The measure would address whether the needs of caregivers for home health patients have been met.  CMS does not provide much information on exactly what is to be measured and how this measure would be constructed. Therefore, it is difficult to comment in support of the measure concept. The immediate concern is the additional burden around data collection for the measure. CMS would likely need to revise the standardized assessment tool or modify the HH CAHPs survey, which are already lengthy tools, for collecting and reporting of the data. Additionally, an HHA’s focus is on the care of patient and not the needs of the caregiver. Further, it is unknown if a measure can be developed that accurately reflects whether a caregiver’s needs have been met. It is also questionable whether a measure can be developed that will allow for accurate comparisons among HHAs.  </w:t>
      </w:r>
    </w:p>
    <w:p w14:paraId="797D7742" w14:textId="77777777" w:rsidR="00D216DF" w:rsidRDefault="00D216DF" w:rsidP="00D216DF">
      <w:pPr>
        <w:rPr>
          <w:rFonts w:ascii="Times New Roman" w:hAnsi="Times New Roman"/>
          <w:b/>
          <w:bCs/>
        </w:rPr>
      </w:pPr>
    </w:p>
    <w:p w14:paraId="5D551895" w14:textId="77777777" w:rsidR="00D216DF" w:rsidRDefault="00D216DF" w:rsidP="00D216DF">
      <w:pPr>
        <w:rPr>
          <w:rFonts w:ascii="Times New Roman" w:hAnsi="Times New Roman"/>
        </w:rPr>
      </w:pPr>
      <w:r>
        <w:rPr>
          <w:rFonts w:ascii="Times New Roman" w:hAnsi="Times New Roman"/>
          <w:b/>
          <w:bCs/>
        </w:rPr>
        <w:t xml:space="preserve">Recommendation:  </w:t>
      </w:r>
      <w:r>
        <w:rPr>
          <w:rFonts w:ascii="Times New Roman" w:hAnsi="Times New Roman"/>
        </w:rPr>
        <w:t>CMS must consider the complexity and potential burden for data collection when developing a measure to address the needs of the family caregivers for home health patients.</w:t>
      </w:r>
    </w:p>
    <w:p w14:paraId="249D04D7" w14:textId="77777777" w:rsidR="00D216DF" w:rsidRDefault="00D216DF" w:rsidP="00D216DF">
      <w:pPr>
        <w:rPr>
          <w:rFonts w:ascii="Times New Roman" w:hAnsi="Times New Roman"/>
          <w:b/>
          <w:bCs/>
        </w:rPr>
      </w:pPr>
    </w:p>
    <w:p w14:paraId="36CF777C" w14:textId="77777777" w:rsidR="00D216DF" w:rsidRDefault="00D216DF" w:rsidP="00D216DF">
      <w:pPr>
        <w:rPr>
          <w:rFonts w:ascii="Times New Roman" w:hAnsi="Times New Roman"/>
          <w:b/>
          <w:bCs/>
        </w:rPr>
      </w:pPr>
      <w:r>
        <w:rPr>
          <w:rFonts w:ascii="Times New Roman" w:hAnsi="Times New Roman"/>
          <w:b/>
          <w:bCs/>
        </w:rPr>
        <w:t xml:space="preserve">Fall with injury (Claims Based) measure </w:t>
      </w:r>
    </w:p>
    <w:p w14:paraId="50279F8C" w14:textId="77777777" w:rsidR="00D216DF" w:rsidRDefault="00D216DF" w:rsidP="00D216DF">
      <w:pPr>
        <w:rPr>
          <w:rFonts w:ascii="Times New Roman" w:hAnsi="Times New Roman"/>
        </w:rPr>
      </w:pPr>
      <w:r>
        <w:rPr>
          <w:rFonts w:ascii="Times New Roman" w:hAnsi="Times New Roman"/>
        </w:rPr>
        <w:t xml:space="preserve">The Alliance has the same concern with a potential claims-based measure for falls as it does with the OASIS based measure.  The falls with injury measure (claims or OASIS based) does not take into consideration the nature of home health services. Care is provided on an intermittent basis with the focus on the home environment. The measure will capture a fall with injury anytime during the home health episode irrespective of whether the HHA had any control over the patient’s movements. For example, the patient falls while outside the home, such as on the way to the physician’s office. Fall prevention programs aimed at safety in the home for a particular patient might not be transferable to the general community setting.  </w:t>
      </w:r>
    </w:p>
    <w:p w14:paraId="1B208CFC" w14:textId="77777777" w:rsidR="00D216DF" w:rsidRDefault="00D216DF" w:rsidP="00D216DF">
      <w:pPr>
        <w:rPr>
          <w:rFonts w:ascii="Times New Roman" w:hAnsi="Times New Roman"/>
          <w:b/>
          <w:bCs/>
        </w:rPr>
      </w:pPr>
    </w:p>
    <w:p w14:paraId="4ACD7231" w14:textId="77777777" w:rsidR="00D216DF" w:rsidRDefault="00D216DF" w:rsidP="00D216DF">
      <w:pPr>
        <w:rPr>
          <w:rFonts w:ascii="Times New Roman" w:hAnsi="Times New Roman"/>
        </w:rPr>
      </w:pPr>
      <w:r>
        <w:rPr>
          <w:rFonts w:ascii="Times New Roman" w:hAnsi="Times New Roman"/>
          <w:b/>
          <w:bCs/>
        </w:rPr>
        <w:t>Recommendation.</w:t>
      </w:r>
      <w:r>
        <w:rPr>
          <w:rFonts w:ascii="Times New Roman" w:hAnsi="Times New Roman"/>
        </w:rPr>
        <w:t xml:space="preserve"> CMS should not include the falls with injury measure into the HHVBP</w:t>
      </w:r>
    </w:p>
    <w:p w14:paraId="46A2A90D" w14:textId="77777777" w:rsidR="00D216DF" w:rsidRDefault="00D216DF" w:rsidP="00D216DF">
      <w:pPr>
        <w:rPr>
          <w:rFonts w:ascii="Times New Roman" w:hAnsi="Times New Roman"/>
          <w:b/>
          <w:bCs/>
        </w:rPr>
      </w:pPr>
    </w:p>
    <w:p w14:paraId="693C3D19" w14:textId="77777777" w:rsidR="00D216DF" w:rsidRDefault="00D216DF" w:rsidP="00D216DF">
      <w:pPr>
        <w:rPr>
          <w:rFonts w:ascii="Times New Roman" w:hAnsi="Times New Roman"/>
          <w:b/>
          <w:bCs/>
        </w:rPr>
      </w:pPr>
      <w:r>
        <w:rPr>
          <w:rFonts w:ascii="Times New Roman" w:hAnsi="Times New Roman"/>
          <w:b/>
          <w:bCs/>
        </w:rPr>
        <w:t>Medicare Spending per Beneficiary (MSPB)</w:t>
      </w:r>
    </w:p>
    <w:p w14:paraId="4700DF11" w14:textId="77777777" w:rsidR="00D216DF" w:rsidRDefault="00D216DF" w:rsidP="00D216DF">
      <w:pPr>
        <w:rPr>
          <w:rFonts w:ascii="Times New Roman" w:hAnsi="Times New Roman"/>
        </w:rPr>
      </w:pPr>
      <w:r>
        <w:rPr>
          <w:rFonts w:ascii="Times New Roman" w:hAnsi="Times New Roman"/>
        </w:rPr>
        <w:t xml:space="preserve">It is unclear how CMS intends to use the MSPB measure in the HHVBP. It is important to note that the MSPB measure is not a quality measure but a measure for Medicare spending. The measure is assumed to be a measure of efficiency if the HHA’s MSPB is less than the Medicare spending of the national median home health agency’s MSPB.  However, a lower spend on care does not necessarily translate into efficient provision of services, it could, in fact, reflect that a there is stinting on care. </w:t>
      </w:r>
    </w:p>
    <w:p w14:paraId="077A7A1A" w14:textId="77777777" w:rsidR="00D216DF" w:rsidRDefault="00D216DF" w:rsidP="00D216DF">
      <w:pPr>
        <w:rPr>
          <w:rFonts w:ascii="Times New Roman" w:hAnsi="Times New Roman"/>
          <w:b/>
          <w:bCs/>
        </w:rPr>
      </w:pPr>
    </w:p>
    <w:p w14:paraId="00AAF2A5" w14:textId="77777777" w:rsidR="00D216DF" w:rsidRDefault="00D216DF" w:rsidP="00D216DF">
      <w:pPr>
        <w:rPr>
          <w:rFonts w:ascii="Times New Roman" w:hAnsi="Times New Roman"/>
        </w:rPr>
      </w:pPr>
      <w:r>
        <w:rPr>
          <w:rFonts w:ascii="Times New Roman" w:hAnsi="Times New Roman"/>
          <w:b/>
          <w:bCs/>
        </w:rPr>
        <w:t>Recommendation:</w:t>
      </w:r>
      <w:r>
        <w:rPr>
          <w:rFonts w:ascii="Times New Roman" w:hAnsi="Times New Roman"/>
        </w:rPr>
        <w:t xml:space="preserve"> CMS should not include the MSPB measure in the HHVBP.</w:t>
      </w:r>
    </w:p>
    <w:p w14:paraId="392B4416" w14:textId="77777777" w:rsidR="00D216DF" w:rsidRDefault="00D216DF" w:rsidP="00D216DF">
      <w:pPr>
        <w:rPr>
          <w:rFonts w:ascii="Times New Roman" w:hAnsi="Times New Roman"/>
          <w:b/>
          <w:bCs/>
        </w:rPr>
      </w:pPr>
    </w:p>
    <w:p w14:paraId="4BDFD6E9" w14:textId="77777777" w:rsidR="00D216DF" w:rsidRDefault="00D216DF" w:rsidP="00D216DF">
      <w:pPr>
        <w:rPr>
          <w:rFonts w:ascii="Times New Roman" w:hAnsi="Times New Roman"/>
          <w:b/>
          <w:bCs/>
        </w:rPr>
      </w:pPr>
      <w:r>
        <w:rPr>
          <w:rFonts w:ascii="Times New Roman" w:hAnsi="Times New Roman"/>
          <w:b/>
          <w:bCs/>
        </w:rPr>
        <w:t>Function measures to complement existing cross-setting Discharge (DC) Function measure:</w:t>
      </w:r>
    </w:p>
    <w:p w14:paraId="6544828E" w14:textId="77777777" w:rsidR="00D216DF" w:rsidRDefault="00D216DF" w:rsidP="00D216DF">
      <w:pPr>
        <w:rPr>
          <w:rFonts w:ascii="Times New Roman" w:hAnsi="Times New Roman"/>
        </w:rPr>
      </w:pPr>
      <w:r>
        <w:rPr>
          <w:rFonts w:ascii="Times New Roman" w:hAnsi="Times New Roman"/>
          <w:b/>
          <w:bCs/>
        </w:rPr>
        <w:t>Recommendation:</w:t>
      </w:r>
      <w:r>
        <w:rPr>
          <w:rFonts w:ascii="Times New Roman" w:hAnsi="Times New Roman"/>
        </w:rPr>
        <w:t xml:space="preserve"> The Alliance supports the inclusion of additional function measures in the HHVBP that complement the DC Function measure.  </w:t>
      </w:r>
    </w:p>
    <w:p w14:paraId="10518098" w14:textId="77777777" w:rsidR="00D216DF" w:rsidRDefault="00D216DF" w:rsidP="00D216DF">
      <w:pPr>
        <w:rPr>
          <w:rFonts w:ascii="Times New Roman" w:hAnsi="Times New Roman"/>
          <w:b/>
          <w:bCs/>
        </w:rPr>
      </w:pPr>
    </w:p>
    <w:p w14:paraId="21BEF620" w14:textId="77777777" w:rsidR="00D216DF" w:rsidRDefault="00D216DF" w:rsidP="00D216DF">
      <w:pPr>
        <w:rPr>
          <w:rFonts w:ascii="Times New Roman" w:hAnsi="Times New Roman"/>
          <w:b/>
          <w:bCs/>
        </w:rPr>
      </w:pPr>
      <w:r>
        <w:rPr>
          <w:rFonts w:ascii="Times New Roman" w:hAnsi="Times New Roman"/>
          <w:b/>
          <w:bCs/>
        </w:rPr>
        <w:lastRenderedPageBreak/>
        <w:t xml:space="preserve">3. Requests for Information </w:t>
      </w:r>
    </w:p>
    <w:p w14:paraId="35F4F83A" w14:textId="77777777" w:rsidR="00D216DF" w:rsidRDefault="00D216DF" w:rsidP="00D216DF">
      <w:pPr>
        <w:rPr>
          <w:rFonts w:ascii="Times New Roman" w:hAnsi="Times New Roman"/>
          <w:b/>
          <w:bCs/>
        </w:rPr>
      </w:pPr>
      <w:r>
        <w:rPr>
          <w:rFonts w:ascii="Times New Roman" w:hAnsi="Times New Roman"/>
          <w:b/>
          <w:bCs/>
        </w:rPr>
        <w:t>a. RFI Regarding Rehabilitative Therapists Conducting the Initial and Comprehensive Assessment</w:t>
      </w:r>
    </w:p>
    <w:p w14:paraId="11E3914E" w14:textId="77777777" w:rsidR="00D216DF" w:rsidRDefault="00D216DF" w:rsidP="00D216DF">
      <w:pPr>
        <w:ind w:left="720"/>
        <w:rPr>
          <w:rFonts w:ascii="Times New Roman" w:hAnsi="Times New Roman"/>
          <w:b/>
          <w:bCs/>
        </w:rPr>
      </w:pPr>
      <w:r>
        <w:rPr>
          <w:rFonts w:ascii="Times New Roman" w:hAnsi="Times New Roman"/>
          <w:b/>
          <w:bCs/>
        </w:rPr>
        <w:t xml:space="preserve">What types of mentorships, preceptorship, or training do these disciplines have qualifying them to conduct the initial assessment and comprehensive assessment? </w:t>
      </w:r>
      <w:r>
        <w:rPr>
          <w:rFonts w:ascii="Times New Roman" w:hAnsi="Times New Roman"/>
          <w:color w:val="FF0000"/>
        </w:rPr>
        <w:t>Waiting for APTA comments</w:t>
      </w:r>
      <w:r>
        <w:rPr>
          <w:rFonts w:ascii="Times New Roman" w:hAnsi="Times New Roman"/>
          <w:b/>
          <w:bCs/>
          <w:color w:val="FF0000"/>
        </w:rPr>
        <w:t xml:space="preserve"> </w:t>
      </w:r>
    </w:p>
    <w:p w14:paraId="624A14B5" w14:textId="77777777" w:rsidR="00D216DF" w:rsidRDefault="00D216DF" w:rsidP="00D216DF">
      <w:pPr>
        <w:rPr>
          <w:rFonts w:ascii="Times New Roman" w:hAnsi="Times New Roman"/>
          <w:b/>
          <w:bCs/>
        </w:rPr>
      </w:pPr>
    </w:p>
    <w:p w14:paraId="4F094682" w14:textId="77777777" w:rsidR="00D216DF" w:rsidRDefault="00D216DF" w:rsidP="00D216DF">
      <w:pPr>
        <w:ind w:left="720"/>
        <w:rPr>
          <w:rFonts w:ascii="Times New Roman" w:hAnsi="Times New Roman"/>
        </w:rPr>
      </w:pPr>
      <w:r>
        <w:rPr>
          <w:rFonts w:ascii="Times New Roman" w:hAnsi="Times New Roman"/>
          <w:b/>
          <w:bCs/>
        </w:rPr>
        <w:t>How do HHAs currently assign staff to conduct the initial assessment and comprehensive assessment? Do HHAs implement specific skill and competency requirements</w:t>
      </w:r>
      <w:r>
        <w:rPr>
          <w:rFonts w:ascii="Times New Roman" w:hAnsi="Times New Roman"/>
        </w:rPr>
        <w:t>?</w:t>
      </w:r>
    </w:p>
    <w:p w14:paraId="31E2D281" w14:textId="77777777" w:rsidR="00D216DF" w:rsidRDefault="00D216DF" w:rsidP="00D216DF">
      <w:pPr>
        <w:rPr>
          <w:rFonts w:ascii="Times New Roman" w:hAnsi="Times New Roman"/>
        </w:rPr>
      </w:pPr>
      <w:r>
        <w:rPr>
          <w:rFonts w:ascii="Times New Roman" w:hAnsi="Times New Roman"/>
        </w:rPr>
        <w:t xml:space="preserve">The clinical professionals (therapist and registered nurses) would be expected to have the skills necessary to conduct an initial and comprehensive assessment of a patient, and therefore when permitted by regulation, be able to conduct the assessments as needed.  HHAs provide all professional staff with additional training specific to the agency policies and procedures, completing the OASIS data set, and the home health setting. Additionally, new hires to HHAs are typically expected to go through some type of orientation and period of supervision to determine their readiness for providing home health services. The orientation and supervision would be tailored to the individual’s clinical skills and needs. </w:t>
      </w:r>
    </w:p>
    <w:p w14:paraId="65B25A34" w14:textId="77777777" w:rsidR="00D216DF" w:rsidRDefault="00D216DF" w:rsidP="00D216DF">
      <w:pPr>
        <w:ind w:left="720"/>
        <w:rPr>
          <w:rFonts w:ascii="Times New Roman" w:hAnsi="Times New Roman"/>
          <w:b/>
          <w:bCs/>
        </w:rPr>
      </w:pPr>
      <w:r>
        <w:rPr>
          <w:rFonts w:ascii="Times New Roman" w:hAnsi="Times New Roman"/>
          <w:b/>
          <w:bCs/>
        </w:rPr>
        <w:t>Do the education requirements for entry-level rehabilitative therapist provide them with the skills to perform both the initial assessment and comprehensive assessment? Is this consistent across all the therapy disciplines? How does this compare with entry-level education for nursing staff?</w:t>
      </w:r>
    </w:p>
    <w:p w14:paraId="063B77B4" w14:textId="77777777" w:rsidR="00D216DF" w:rsidRDefault="00D216DF" w:rsidP="00D216DF">
      <w:pPr>
        <w:rPr>
          <w:rFonts w:ascii="Times New Roman" w:hAnsi="Times New Roman"/>
        </w:rPr>
      </w:pPr>
      <w:r>
        <w:rPr>
          <w:rFonts w:ascii="Times New Roman" w:hAnsi="Times New Roman"/>
        </w:rPr>
        <w:t>In discussion with representatives from the profession associations for physical therapy, occupational therapy, and speech language pathologist (American Physical Therapy Association (APTA),</w:t>
      </w:r>
      <w:r>
        <w:t xml:space="preserve"> </w:t>
      </w:r>
      <w:r>
        <w:rPr>
          <w:rFonts w:ascii="Times New Roman" w:hAnsi="Times New Roman"/>
        </w:rPr>
        <w:t xml:space="preserve">American Occupational Therapy Association, (AOTA) and the American Speech-Language Hearing Association (ASHA)) all concurred that the education and training prepare the respective therapists adequately to conduct an initial and comprehensive assessments on home health patients.   CMS notes in the proposed rule the specific training required by each discipline. </w:t>
      </w:r>
    </w:p>
    <w:p w14:paraId="326BDCB4" w14:textId="77777777" w:rsidR="00D216DF" w:rsidRDefault="00D216DF" w:rsidP="00D216DF">
      <w:pPr>
        <w:rPr>
          <w:rFonts w:ascii="Times New Roman" w:hAnsi="Times New Roman"/>
        </w:rPr>
      </w:pPr>
      <w:r>
        <w:rPr>
          <w:rFonts w:ascii="Times New Roman" w:hAnsi="Times New Roman"/>
        </w:rPr>
        <w:t xml:space="preserve">PTs must hold a Doctor of Physical Therapy.  The curriculum includes the general clinical skills required to conduct the initial and comprehensive assessments, both in the identification of immediate care and support needs, as well as the assessment of the patient’s general health, psychosocial, functional, cognitive, and pharmacological status, and clinical experience. </w:t>
      </w:r>
    </w:p>
    <w:p w14:paraId="6EFEB496" w14:textId="77777777" w:rsidR="00D216DF" w:rsidRDefault="00D216DF" w:rsidP="00D216DF">
      <w:pPr>
        <w:rPr>
          <w:rFonts w:ascii="Times New Roman" w:hAnsi="Times New Roman"/>
        </w:rPr>
      </w:pPr>
      <w:r>
        <w:rPr>
          <w:rFonts w:ascii="Times New Roman" w:hAnsi="Times New Roman"/>
        </w:rPr>
        <w:t xml:space="preserve">SLPs must obtain a Certificate of Clinical Competence in Speech-Language Pathology as well as state licensure. SLP must obtain a master’s, doctoral, or other recognized post-baccalaureate degree. Once students complete all academic coursework and a graduate student clinical practicum, they must also complete a clinical fellow.  </w:t>
      </w:r>
    </w:p>
    <w:p w14:paraId="3C62DE78" w14:textId="69016330" w:rsidR="00D216DF" w:rsidRDefault="00D216DF" w:rsidP="00D216DF">
      <w:pPr>
        <w:rPr>
          <w:rFonts w:ascii="Times New Roman" w:hAnsi="Times New Roman"/>
        </w:rPr>
      </w:pPr>
      <w:r>
        <w:rPr>
          <w:rFonts w:ascii="Times New Roman" w:hAnsi="Times New Roman"/>
        </w:rPr>
        <w:t xml:space="preserve">OTs must hold either a </w:t>
      </w:r>
      <w:r w:rsidR="00CC7610">
        <w:rPr>
          <w:rFonts w:ascii="Times New Roman" w:hAnsi="Times New Roman"/>
        </w:rPr>
        <w:t>master’s</w:t>
      </w:r>
      <w:r>
        <w:rPr>
          <w:rFonts w:ascii="Times New Roman" w:hAnsi="Times New Roman"/>
        </w:rPr>
        <w:t xml:space="preserve"> degree or Doctorate of Occupational Therapy. Education programs are accredited by the Accreditation Council for Occupational Therapy Education (ACOTE) of the AOTA. The ACOTE establishes, approves, and administers educational standards to evaluate occupational therapy educational programs. Graduates of </w:t>
      </w:r>
      <w:r w:rsidR="00CC7610">
        <w:rPr>
          <w:rFonts w:ascii="Times New Roman" w:hAnsi="Times New Roman"/>
        </w:rPr>
        <w:t>ACOTE accredited</w:t>
      </w:r>
      <w:r>
        <w:rPr>
          <w:rFonts w:ascii="Times New Roman" w:hAnsi="Times New Roman"/>
        </w:rPr>
        <w:t xml:space="preserve"> programs are eligible to take the National Board for Certification in Occupational Therapy (NBCOT) certification exam and apply for State licensure</w:t>
      </w:r>
    </w:p>
    <w:p w14:paraId="37FD84BA" w14:textId="77777777" w:rsidR="00D216DF" w:rsidRDefault="00D216DF" w:rsidP="00D216DF">
      <w:pPr>
        <w:rPr>
          <w:rFonts w:ascii="Times New Roman" w:hAnsi="Times New Roman"/>
        </w:rPr>
      </w:pPr>
    </w:p>
    <w:p w14:paraId="13D992F6" w14:textId="77777777" w:rsidR="00D216DF" w:rsidRDefault="00D216DF" w:rsidP="00D216DF">
      <w:pPr>
        <w:ind w:left="720"/>
        <w:rPr>
          <w:rFonts w:ascii="Times New Roman" w:hAnsi="Times New Roman" w:cstheme="minorBidi"/>
          <w:b/>
          <w:bCs/>
        </w:rPr>
      </w:pPr>
      <w:r>
        <w:rPr>
          <w:rFonts w:ascii="Times New Roman" w:hAnsi="Times New Roman"/>
          <w:b/>
          <w:bCs/>
        </w:rPr>
        <w:t xml:space="preserve">What, if any, potential education or skills gaps may exist for rehabilitative therapists in conducting the initial assessment and comprehensive assessment? </w:t>
      </w:r>
      <w:r>
        <w:rPr>
          <w:rFonts w:ascii="Times New Roman" w:hAnsi="Times New Roman"/>
          <w:color w:val="FF0000"/>
        </w:rPr>
        <w:t>Waiting for APTA comments</w:t>
      </w:r>
      <w:r>
        <w:rPr>
          <w:rFonts w:ascii="Times New Roman" w:hAnsi="Times New Roman"/>
          <w:b/>
          <w:bCs/>
          <w:color w:val="FF0000"/>
        </w:rPr>
        <w:t xml:space="preserve"> </w:t>
      </w:r>
    </w:p>
    <w:p w14:paraId="1CE7B479" w14:textId="77777777" w:rsidR="00D216DF" w:rsidRDefault="00D216DF" w:rsidP="00D216DF">
      <w:pPr>
        <w:ind w:left="720"/>
        <w:rPr>
          <w:rFonts w:ascii="Times New Roman" w:hAnsi="Times New Roman"/>
          <w:b/>
          <w:bCs/>
        </w:rPr>
      </w:pPr>
      <w:r>
        <w:rPr>
          <w:rFonts w:ascii="Times New Roman" w:hAnsi="Times New Roman"/>
          <w:b/>
          <w:bCs/>
        </w:rPr>
        <w:t>What challenges did HHAs and therapists that conducted these assessments under the PHE waiver experience that may have impacted the quality of these assessments?</w:t>
      </w:r>
    </w:p>
    <w:p w14:paraId="000335EA" w14:textId="77777777" w:rsidR="00D216DF" w:rsidRDefault="00D216DF" w:rsidP="00D216DF">
      <w:pPr>
        <w:ind w:left="90"/>
        <w:rPr>
          <w:rFonts w:ascii="Times New Roman" w:hAnsi="Times New Roman"/>
        </w:rPr>
      </w:pPr>
      <w:r>
        <w:rPr>
          <w:rFonts w:ascii="Times New Roman" w:hAnsi="Times New Roman"/>
        </w:rPr>
        <w:t xml:space="preserve">Home health agencies did not report any challenges with exercising that waiver that expanded the role of therapists in conducting the initial and comprehensive assessments. Nor was there any evidence that quality of care for patients was impacted, suggesting that assessments conducted by therapist were assessment were completed accurately. </w:t>
      </w:r>
    </w:p>
    <w:p w14:paraId="16380F14" w14:textId="77777777" w:rsidR="00D216DF" w:rsidRDefault="00D216DF" w:rsidP="00D216DF">
      <w:pPr>
        <w:ind w:left="720"/>
        <w:rPr>
          <w:rFonts w:ascii="Times New Roman" w:hAnsi="Times New Roman"/>
          <w:b/>
          <w:bCs/>
        </w:rPr>
      </w:pPr>
      <w:r>
        <w:rPr>
          <w:rFonts w:ascii="Times New Roman" w:hAnsi="Times New Roman"/>
          <w:b/>
          <w:bCs/>
        </w:rPr>
        <w:lastRenderedPageBreak/>
        <w:t>For the HHAs and therapists that conducted the initial assessment and comprehensive assessment under the PHE waiver, what were the benefits and were there any unintended consequences of this on patient health and safety?</w:t>
      </w:r>
    </w:p>
    <w:p w14:paraId="7FA7272A" w14:textId="77777777" w:rsidR="00D216DF" w:rsidRDefault="00D216DF" w:rsidP="00D216DF">
      <w:pPr>
        <w:rPr>
          <w:rFonts w:ascii="Times New Roman" w:hAnsi="Times New Roman"/>
        </w:rPr>
      </w:pPr>
      <w:r>
        <w:rPr>
          <w:rFonts w:ascii="Times New Roman" w:hAnsi="Times New Roman"/>
        </w:rPr>
        <w:t xml:space="preserve">Because the regulations permit a therapist to conduct the initial and comprehensive assessments if therapy is the only discipline ordered, there has always been precedent for a therapist to conduct the assessments. Long before the PHE, we had advocated for a change in the regulations at §484.55 that provides a similar flexibility as the PHE waiver. </w:t>
      </w:r>
    </w:p>
    <w:p w14:paraId="4A966710" w14:textId="77777777" w:rsidR="00D216DF" w:rsidRDefault="00D216DF" w:rsidP="00D216DF">
      <w:pPr>
        <w:rPr>
          <w:rFonts w:ascii="Times New Roman" w:hAnsi="Times New Roman"/>
        </w:rPr>
      </w:pPr>
      <w:r>
        <w:rPr>
          <w:rFonts w:ascii="Times New Roman" w:hAnsi="Times New Roman"/>
        </w:rPr>
        <w:t xml:space="preserve">HHAs have overwhelmingly reported that this flexibility was most beneficial during the PHE in their ability to provide care to patients requiring home health services and was the most widely used of all the PHE waivers. The application of that waiver into HHA operations during the PHE had the same effect as a three-year demonstration project.  </w:t>
      </w:r>
    </w:p>
    <w:p w14:paraId="06FCA928" w14:textId="77777777" w:rsidR="00D216DF" w:rsidRDefault="00D216DF" w:rsidP="00D216DF">
      <w:pPr>
        <w:rPr>
          <w:rFonts w:ascii="Times New Roman" w:hAnsi="Times New Roman"/>
        </w:rPr>
      </w:pPr>
      <w:r>
        <w:rPr>
          <w:rFonts w:ascii="Times New Roman" w:hAnsi="Times New Roman"/>
        </w:rPr>
        <w:t xml:space="preserve">During that time there were no adverse effects on the quality of care for home health patients, with many agencies reporting that the waiver allowed them to maintain timely initiation of care. The waiver was particularly beneficial for patients in rural areas where workforce shortages were, and remain, the most profound. </w:t>
      </w:r>
    </w:p>
    <w:p w14:paraId="25F21CEE" w14:textId="77777777" w:rsidR="00D216DF" w:rsidRDefault="00D216DF" w:rsidP="00D216DF">
      <w:pPr>
        <w:ind w:left="720"/>
        <w:rPr>
          <w:rFonts w:ascii="Times New Roman" w:hAnsi="Times New Roman"/>
          <w:b/>
          <w:bCs/>
        </w:rPr>
      </w:pPr>
      <w:r>
        <w:rPr>
          <w:rFonts w:ascii="Times New Roman" w:hAnsi="Times New Roman"/>
          <w:b/>
          <w:bCs/>
        </w:rPr>
        <w:t xml:space="preserve">What challenges, barriers, or other factors, such as workforce shortages, particularly in rural areas, impact rehabilitative therapists and nurses in meeting the needs of patients at the start of care and early in the plan of care? </w:t>
      </w:r>
    </w:p>
    <w:p w14:paraId="544C8F2E" w14:textId="77777777" w:rsidR="00D216DF" w:rsidRDefault="00D216DF" w:rsidP="00D216DF">
      <w:pPr>
        <w:rPr>
          <w:rFonts w:ascii="Times New Roman" w:hAnsi="Times New Roman"/>
        </w:rPr>
      </w:pPr>
      <w:r>
        <w:rPr>
          <w:rFonts w:ascii="Times New Roman" w:hAnsi="Times New Roman"/>
        </w:rPr>
        <w:t xml:space="preserve">The recent Medicare payment cuts to HHAs and the workforce shortages have significantly impacted HHAs in rural areas. Rural providers have unique challenges that include longer travel distances between visits and greater competition for qualified workers. Additionally, home health therapists and nurses often serve as the primary source for health evaluations and care delivery in underserved areas.  Rural agencies are incurring significant unreimbursed costs to recruit and retain home care professionals and integrate the use of technologies in agency operations. As a result, agencies have been forced to reduce service areas and refuse admission to patients whose care costs would place an agency at financial risk. </w:t>
      </w:r>
    </w:p>
    <w:p w14:paraId="181DC4CF" w14:textId="77777777" w:rsidR="00D216DF" w:rsidRDefault="00D216DF" w:rsidP="00D216DF">
      <w:pPr>
        <w:rPr>
          <w:rFonts w:ascii="Times New Roman" w:hAnsi="Times New Roman" w:cstheme="minorBidi"/>
        </w:rPr>
      </w:pPr>
      <w:r>
        <w:rPr>
          <w:rFonts w:ascii="Times New Roman" w:hAnsi="Times New Roman"/>
        </w:rPr>
        <w:t xml:space="preserve">Reports from our rural provider members have sounded the alarm with closures and service area reductions. For example, one agency in rural Nebraska reported having to downsize from serving 13 counties (60-mile radius) to serving only one county (25- mile radius) with a drop in the average daily census (ADC) by 60% since 2020. An agency in rural Vermont has reduced its service area by a third with ADC down by nearly 50% over the past year. The </w:t>
      </w:r>
      <w:r>
        <w:rPr>
          <w:rFonts w:ascii="Times New Roman" w:hAnsi="Times New Roman"/>
          <w:color w:val="303030"/>
        </w:rPr>
        <w:t>state of Missouri alone has lost 56 home health agencies to closure since August 2017, and 14 of those just in the last 18 months. Sixty-six percent of these closures were in rural areas.</w:t>
      </w:r>
      <w:r>
        <w:rPr>
          <w:rFonts w:ascii="Times New Roman" w:hAnsi="Times New Roman"/>
        </w:rPr>
        <w:t xml:space="preserve"> It is reasonable to believe that this pattern of care delivery reductions and HHA closures is being repeated throughout rural America. </w:t>
      </w:r>
    </w:p>
    <w:p w14:paraId="4913FEA8" w14:textId="77777777" w:rsidR="00D216DF" w:rsidRDefault="00D216DF" w:rsidP="00D216DF">
      <w:pPr>
        <w:rPr>
          <w:rFonts w:ascii="Times New Roman" w:hAnsi="Times New Roman"/>
        </w:rPr>
      </w:pPr>
    </w:p>
    <w:p w14:paraId="1F1D5B7C" w14:textId="77777777" w:rsidR="00D216DF" w:rsidRDefault="00D216DF" w:rsidP="00D216DF">
      <w:pPr>
        <w:rPr>
          <w:rFonts w:ascii="Times New Roman" w:hAnsi="Times New Roman"/>
        </w:rPr>
      </w:pPr>
    </w:p>
    <w:p w14:paraId="444B5F77" w14:textId="77777777" w:rsidR="00D216DF" w:rsidRDefault="00D216DF" w:rsidP="00D216DF">
      <w:pPr>
        <w:rPr>
          <w:rFonts w:ascii="Times New Roman" w:hAnsi="Times New Roman"/>
          <w:b/>
          <w:bCs/>
        </w:rPr>
      </w:pPr>
      <w:r>
        <w:rPr>
          <w:rFonts w:ascii="Times New Roman" w:hAnsi="Times New Roman"/>
          <w:b/>
          <w:bCs/>
        </w:rPr>
        <w:t>b. Plan of Care Development and Scope of Services Home Health Patients Receive</w:t>
      </w:r>
    </w:p>
    <w:p w14:paraId="1A9A33A5" w14:textId="77777777" w:rsidR="00D216DF" w:rsidRDefault="00D216DF" w:rsidP="00D216DF">
      <w:pPr>
        <w:ind w:left="720"/>
        <w:rPr>
          <w:rFonts w:ascii="Times New Roman" w:hAnsi="Times New Roman"/>
        </w:rPr>
      </w:pPr>
      <w:r>
        <w:rPr>
          <w:rFonts w:ascii="Times New Roman" w:hAnsi="Times New Roman"/>
        </w:rPr>
        <w:t xml:space="preserve"> </w:t>
      </w:r>
      <w:r>
        <w:rPr>
          <w:rFonts w:ascii="Times New Roman" w:hAnsi="Times New Roman"/>
          <w:b/>
          <w:bCs/>
        </w:rPr>
        <w:t>What factors influence an HHA’s decision on what services to offer as part of its business model and how often do HHAs change the service mix</w:t>
      </w:r>
      <w:r>
        <w:rPr>
          <w:rFonts w:ascii="Times New Roman" w:hAnsi="Times New Roman"/>
        </w:rPr>
        <w:t>?</w:t>
      </w:r>
    </w:p>
    <w:p w14:paraId="28BC0B7F" w14:textId="77777777" w:rsidR="00D216DF" w:rsidRDefault="00D216DF" w:rsidP="00D216DF">
      <w:pPr>
        <w:rPr>
          <w:rFonts w:ascii="Times New Roman" w:hAnsi="Times New Roman"/>
        </w:rPr>
      </w:pPr>
      <w:r>
        <w:rPr>
          <w:rFonts w:ascii="Times New Roman" w:hAnsi="Times New Roman"/>
        </w:rPr>
        <w:t xml:space="preserve"> Most HHAs do, or strive to, provide all services permitted under the home health benefit. Limitations to the services an agency provides is usually driven by available staff. Agencies report having difficulty recruiting and retaining nurses and home health aides, although we are also hearing of reports of difficulty in recruiting and retaining all discipline types, particularly in rural areas. Therefore, the change in services provided is often dictated by market forces and the availability of certain categories of staff. </w:t>
      </w:r>
    </w:p>
    <w:p w14:paraId="5111D6B6" w14:textId="77777777" w:rsidR="00D216DF" w:rsidRDefault="00D216DF" w:rsidP="00D216DF">
      <w:pPr>
        <w:rPr>
          <w:rFonts w:ascii="Times New Roman" w:hAnsi="Times New Roman"/>
          <w:b/>
          <w:bCs/>
        </w:rPr>
      </w:pPr>
      <w:r>
        <w:rPr>
          <w:rFonts w:ascii="Times New Roman" w:hAnsi="Times New Roman"/>
        </w:rPr>
        <w:t xml:space="preserve"> </w:t>
      </w:r>
      <w:r>
        <w:rPr>
          <w:rFonts w:ascii="Times New Roman" w:hAnsi="Times New Roman"/>
        </w:rPr>
        <w:tab/>
      </w:r>
      <w:r>
        <w:rPr>
          <w:rFonts w:ascii="Times New Roman" w:hAnsi="Times New Roman"/>
          <w:b/>
          <w:bCs/>
        </w:rPr>
        <w:t>What are the common reasons for an HHA to not accept a referral?</w:t>
      </w:r>
    </w:p>
    <w:p w14:paraId="3466DA36" w14:textId="77777777" w:rsidR="00D216DF" w:rsidRDefault="00D216DF" w:rsidP="00D216DF">
      <w:pPr>
        <w:rPr>
          <w:rFonts w:ascii="Times New Roman" w:hAnsi="Times New Roman"/>
        </w:rPr>
      </w:pPr>
      <w:r>
        <w:rPr>
          <w:rFonts w:ascii="Times New Roman" w:hAnsi="Times New Roman"/>
        </w:rPr>
        <w:t xml:space="preserve">HHAs currently report that the most common reason for having to turn down referrals is because of workforce shortages particularly for nurses and home health aides, although HHAs also report difficulty in recruiting all disciplines to some degree. Home health patients are being referred to home health with more complex conditions requiring multiple disciplines and front loading of visits that the HHA may not be able to provide. Home health is experiencing a perfect storm of challenges whereby patients have greater needs, but the workforce is at critical low. </w:t>
      </w:r>
    </w:p>
    <w:p w14:paraId="68CE1824" w14:textId="77777777" w:rsidR="00D216DF" w:rsidRDefault="00D216DF" w:rsidP="00D216DF">
      <w:pPr>
        <w:rPr>
          <w:rFonts w:ascii="Times New Roman" w:hAnsi="Times New Roman"/>
        </w:rPr>
      </w:pPr>
      <w:r>
        <w:rPr>
          <w:rFonts w:ascii="Times New Roman" w:hAnsi="Times New Roman"/>
        </w:rPr>
        <w:lastRenderedPageBreak/>
        <w:t xml:space="preserve">Other reasons include incomplete referrals, particularly where the referral sources is not able to identify a community provider to follow the patient or have the wrong provider listed. If the HHA cannot locate a practitioner to follow the patient timely, it places both the patient and agency at risk. </w:t>
      </w:r>
    </w:p>
    <w:p w14:paraId="458104B4" w14:textId="77777777" w:rsidR="00D216DF" w:rsidRDefault="00D216DF" w:rsidP="00D216DF">
      <w:pPr>
        <w:rPr>
          <w:rFonts w:ascii="Times New Roman" w:hAnsi="Times New Roman"/>
        </w:rPr>
      </w:pPr>
      <w:r>
        <w:rPr>
          <w:rFonts w:ascii="Times New Roman" w:hAnsi="Times New Roman"/>
        </w:rPr>
        <w:t xml:space="preserve">Discharge planners in acute/post-acute care facilities often routinely refer beneficiaries to home health care, irrespective of whether the beneficiary meets coverage criteria. It is not uncommon for inpatient referral sources to include a multitude of services on a referral respective of the needs of the patient. The HHA must explain to the beneficiary why they do not meet coverage criteria for some, or all, of the services. </w:t>
      </w:r>
    </w:p>
    <w:p w14:paraId="019E4F40" w14:textId="77777777" w:rsidR="00D216DF" w:rsidRDefault="00D216DF" w:rsidP="00D216DF">
      <w:pPr>
        <w:rPr>
          <w:rFonts w:ascii="Times New Roman" w:hAnsi="Times New Roman"/>
        </w:rPr>
      </w:pPr>
    </w:p>
    <w:p w14:paraId="31530645" w14:textId="77777777" w:rsidR="00D216DF" w:rsidRDefault="00D216DF" w:rsidP="00D216DF">
      <w:pPr>
        <w:ind w:left="720" w:firstLine="50"/>
        <w:rPr>
          <w:rFonts w:ascii="Times New Roman" w:hAnsi="Times New Roman"/>
          <w:color w:val="FF0000"/>
        </w:rPr>
      </w:pPr>
      <w:r>
        <w:rPr>
          <w:rFonts w:ascii="Times New Roman" w:hAnsi="Times New Roman"/>
          <w:b/>
          <w:bCs/>
        </w:rPr>
        <w:t xml:space="preserve">How do physicians and allowed practitioners use their role in establishing and reviewing the plan of care to ensure patients are receiving the right mix, duration, and frequency of services to meet the measurable outcomes and goals identified by the HHA and the patient? </w:t>
      </w:r>
      <w:r>
        <w:rPr>
          <w:rFonts w:ascii="Times New Roman" w:hAnsi="Times New Roman"/>
          <w:color w:val="FF0000"/>
        </w:rPr>
        <w:t xml:space="preserve">Stil thinking about this one, varies by practitioner </w:t>
      </w:r>
    </w:p>
    <w:p w14:paraId="59244B80" w14:textId="77777777" w:rsidR="00D216DF" w:rsidRDefault="00D216DF" w:rsidP="00D216DF">
      <w:pPr>
        <w:ind w:left="720" w:firstLine="50"/>
        <w:rPr>
          <w:rFonts w:ascii="Times New Roman" w:hAnsi="Times New Roman"/>
          <w:b/>
          <w:bCs/>
        </w:rPr>
      </w:pPr>
      <w:r>
        <w:rPr>
          <w:rFonts w:ascii="Times New Roman" w:hAnsi="Times New Roman"/>
          <w:b/>
          <w:bCs/>
        </w:rPr>
        <w:t>To what extent do physicians rely on HHA clinician evaluations and reports in establishing the mix of services, service frequency, and service duration included in the plan of care?</w:t>
      </w:r>
    </w:p>
    <w:p w14:paraId="607148F3" w14:textId="77777777" w:rsidR="00D216DF" w:rsidRDefault="00D216DF" w:rsidP="00D216DF">
      <w:pPr>
        <w:rPr>
          <w:rFonts w:ascii="Times New Roman" w:hAnsi="Times New Roman"/>
          <w:b/>
          <w:bCs/>
        </w:rPr>
      </w:pPr>
      <w:r>
        <w:rPr>
          <w:rFonts w:ascii="Times New Roman" w:hAnsi="Times New Roman"/>
        </w:rPr>
        <w:t xml:space="preserve">Community practitioners rely on the HHAs evaluation and reports to inform the plan of care. If a patient is being referred to home health from an acute/post-acute care facility the patient will have been followed by a hospitalist and/or a skilled nursing facility Medical Director who refers the patient to home health.  The patient’s primary care practitioner (PCP) resumes care only upon the patient’s return home. The HHA is usually the first contact the patient has with a community healthcare provider. Therefore, the HHA’s evaluation of the patient’s condition and care needs relative to the home setting is necessary for effective care planning by the community practitioner. Even when a referral is received from the community PCP, the HHA provides a unique perspective for care planning in the individual’s home. </w:t>
      </w:r>
    </w:p>
    <w:p w14:paraId="75087388" w14:textId="77777777" w:rsidR="00D216DF" w:rsidRDefault="00D216DF" w:rsidP="00D216DF">
      <w:pPr>
        <w:ind w:left="720" w:firstLine="50"/>
        <w:rPr>
          <w:rFonts w:ascii="Times New Roman" w:hAnsi="Times New Roman"/>
          <w:b/>
          <w:bCs/>
        </w:rPr>
      </w:pPr>
      <w:r>
        <w:rPr>
          <w:rFonts w:ascii="Times New Roman" w:hAnsi="Times New Roman"/>
          <w:b/>
          <w:bCs/>
        </w:rPr>
        <w:t>What are the patient and caregiver experiences in receiving nursing, aide, and therapy services when under the care of a home health agency?</w:t>
      </w:r>
    </w:p>
    <w:p w14:paraId="60451FC4" w14:textId="77777777" w:rsidR="00D216DF" w:rsidRDefault="00D216DF" w:rsidP="00D216DF">
      <w:pPr>
        <w:rPr>
          <w:rFonts w:ascii="Times New Roman" w:hAnsi="Times New Roman"/>
        </w:rPr>
      </w:pPr>
      <w:r>
        <w:rPr>
          <w:rFonts w:ascii="Times New Roman" w:hAnsi="Times New Roman"/>
        </w:rPr>
        <w:t xml:space="preserve">Sources for this information include the Home Health Consumer Assessment of Healthcare Providers and Systems (HHCAHPS) survey and the HHA complaint logs.   </w:t>
      </w:r>
    </w:p>
    <w:p w14:paraId="56E089AE" w14:textId="77777777" w:rsidR="00D216DF" w:rsidRDefault="00D216DF" w:rsidP="00D216DF">
      <w:pPr>
        <w:ind w:left="720" w:firstLine="50"/>
        <w:rPr>
          <w:rFonts w:ascii="Times New Roman" w:hAnsi="Times New Roman"/>
          <w:b/>
          <w:bCs/>
        </w:rPr>
      </w:pPr>
      <w:r>
        <w:rPr>
          <w:rFonts w:ascii="Times New Roman" w:hAnsi="Times New Roman"/>
          <w:b/>
          <w:bCs/>
        </w:rPr>
        <w:t>What additional evidence is available regarding negative outcomes or adverse events that may be attributable to the mix, duration, and service frequency provided by HHAs, including, but not limited to, avoidable hospitalizations?</w:t>
      </w:r>
    </w:p>
    <w:p w14:paraId="7F0EAC21" w14:textId="77777777" w:rsidR="00D216DF" w:rsidRDefault="00D216DF" w:rsidP="00D216DF">
      <w:pPr>
        <w:rPr>
          <w:rFonts w:ascii="Times New Roman" w:hAnsi="Times New Roman"/>
        </w:rPr>
      </w:pPr>
      <w:r>
        <w:rPr>
          <w:rFonts w:ascii="Times New Roman" w:hAnsi="Times New Roman"/>
        </w:rPr>
        <w:t xml:space="preserve">CMS’ discussion on negative outcomes for patients largely addressed those patients who were unable to access home health services timely. CMS cited several publications that addressed the workforce shortages related to the COVID-19 PHE. It is unclear what additional evidence CMS is seeking.   </w:t>
      </w:r>
    </w:p>
    <w:p w14:paraId="70EE589C" w14:textId="77777777" w:rsidR="00D216DF" w:rsidRDefault="00D216DF" w:rsidP="00D216DF">
      <w:pPr>
        <w:rPr>
          <w:rFonts w:ascii="Times New Roman" w:hAnsi="Times New Roman"/>
          <w:b/>
          <w:bCs/>
        </w:rPr>
      </w:pPr>
      <w:r>
        <w:rPr>
          <w:rFonts w:ascii="Times New Roman" w:hAnsi="Times New Roman"/>
          <w:b/>
          <w:bCs/>
        </w:rPr>
        <w:tab/>
        <w:t xml:space="preserve"> In what ways can referring providers and HHAs improve the referral process?</w:t>
      </w:r>
    </w:p>
    <w:p w14:paraId="02CA44CC" w14:textId="77777777" w:rsidR="00D216DF" w:rsidRDefault="00D216DF" w:rsidP="00D216DF">
      <w:pPr>
        <w:rPr>
          <w:rFonts w:ascii="Times New Roman" w:hAnsi="Times New Roman"/>
        </w:rPr>
      </w:pPr>
      <w:r>
        <w:rPr>
          <w:rFonts w:ascii="Times New Roman" w:hAnsi="Times New Roman"/>
        </w:rPr>
        <w:t xml:space="preserve">Improved communication between referral sources and HHAs with consistent feedback regarding necessary information needed for a complete referral, coverage criteria for beneficiaries to receive Medicare covered home health services, and the HHAs capacity for acceptance with anticipated referrals. </w:t>
      </w:r>
    </w:p>
    <w:p w14:paraId="24BDFDC8" w14:textId="77777777" w:rsidR="00D216DF" w:rsidRDefault="00D216DF" w:rsidP="00D216DF">
      <w:pPr>
        <w:rPr>
          <w:rFonts w:ascii="Times New Roman" w:hAnsi="Times New Roman"/>
        </w:rPr>
      </w:pPr>
      <w:r>
        <w:rPr>
          <w:rFonts w:ascii="Times New Roman" w:hAnsi="Times New Roman"/>
        </w:rPr>
        <w:t>CMS should support and encourage interoperability of health care information across providers. Interoperability will help facilitate the referral process by allowing HHAs to obtain the necessary information regarding the patient’s current condition and care needs along with the past medical history and any social determinants of health that might impact care planning and delivery</w:t>
      </w:r>
    </w:p>
    <w:p w14:paraId="27BDB9ED" w14:textId="77777777" w:rsidR="00D216DF" w:rsidRDefault="00D216DF" w:rsidP="00D216DF">
      <w:pPr>
        <w:ind w:left="720" w:firstLine="50"/>
        <w:rPr>
          <w:rFonts w:ascii="Times New Roman" w:hAnsi="Times New Roman"/>
          <w:b/>
          <w:bCs/>
        </w:rPr>
      </w:pPr>
      <w:r>
        <w:rPr>
          <w:rFonts w:ascii="Times New Roman" w:hAnsi="Times New Roman"/>
          <w:b/>
          <w:bCs/>
        </w:rPr>
        <w:t>What other factors may influence the provision of services that impact the timeliness of services and service initiation</w:t>
      </w:r>
      <w:r>
        <w:rPr>
          <w:rFonts w:ascii="Times New Roman" w:hAnsi="Times New Roman"/>
          <w:color w:val="FF0000"/>
        </w:rPr>
        <w:t xml:space="preserve">? Still thinking about this one. </w:t>
      </w:r>
      <w:r>
        <w:rPr>
          <w:rFonts w:ascii="Times New Roman" w:hAnsi="Times New Roman"/>
          <w:b/>
          <w:bCs/>
          <w:color w:val="FF0000"/>
        </w:rPr>
        <w:t xml:space="preserve"> </w:t>
      </w:r>
    </w:p>
    <w:p w14:paraId="34928287" w14:textId="436B8AEC" w:rsidR="00D216DF" w:rsidRDefault="00D216DF" w:rsidP="00D216DF">
      <w:pPr>
        <w:ind w:firstLine="720"/>
        <w:rPr>
          <w:rFonts w:ascii="Times New Roman" w:hAnsi="Times New Roman"/>
          <w:b/>
          <w:bCs/>
        </w:rPr>
      </w:pPr>
      <w:r>
        <w:rPr>
          <w:rFonts w:ascii="Times New Roman" w:hAnsi="Times New Roman"/>
          <w:b/>
          <w:bCs/>
        </w:rPr>
        <w:t xml:space="preserve"> What additional areas should CMS consider </w:t>
      </w:r>
      <w:r w:rsidR="00CC7610">
        <w:rPr>
          <w:rFonts w:ascii="Times New Roman" w:hAnsi="Times New Roman"/>
          <w:b/>
          <w:bCs/>
        </w:rPr>
        <w:t>addressing</w:t>
      </w:r>
      <w:r>
        <w:rPr>
          <w:rFonts w:ascii="Times New Roman" w:hAnsi="Times New Roman"/>
          <w:b/>
          <w:bCs/>
        </w:rPr>
        <w:t xml:space="preserve"> HHA patient health and safety concerns?</w:t>
      </w:r>
    </w:p>
    <w:p w14:paraId="73A64F2E" w14:textId="77777777" w:rsidR="00D216DF" w:rsidRDefault="00D216DF" w:rsidP="00D216DF">
      <w:pPr>
        <w:rPr>
          <w:rFonts w:ascii="Times New Roman" w:hAnsi="Times New Roman"/>
        </w:rPr>
      </w:pPr>
      <w:r>
        <w:rPr>
          <w:rFonts w:ascii="Times New Roman" w:hAnsi="Times New Roman"/>
          <w:b/>
          <w:bCs/>
        </w:rPr>
        <w:tab/>
      </w:r>
      <w:r>
        <w:rPr>
          <w:rFonts w:ascii="Times New Roman" w:hAnsi="Times New Roman"/>
          <w:b/>
          <w:bCs/>
        </w:rPr>
        <w:tab/>
      </w:r>
      <w:r>
        <w:rPr>
          <w:rFonts w:ascii="Times New Roman" w:hAnsi="Times New Roman"/>
          <w:color w:val="FF0000"/>
        </w:rPr>
        <w:t>Still thinking about this one</w:t>
      </w:r>
    </w:p>
    <w:p w14:paraId="4E388541" w14:textId="77777777" w:rsidR="00D216DF" w:rsidRDefault="00D216DF" w:rsidP="00D216DF">
      <w:pPr>
        <w:rPr>
          <w:rFonts w:ascii="Times New Roman" w:hAnsi="Times New Roman"/>
          <w:b/>
          <w:bCs/>
        </w:rPr>
      </w:pPr>
      <w:r>
        <w:rPr>
          <w:rFonts w:ascii="Times New Roman" w:hAnsi="Times New Roman"/>
          <w:b/>
          <w:bCs/>
        </w:rPr>
        <w:t xml:space="preserve">VI. Home Health CoP Changes and Long Term (LTC) Requirements for Acute Respiratory Illness Reporting </w:t>
      </w:r>
    </w:p>
    <w:p w14:paraId="695CFE08" w14:textId="77777777" w:rsidR="00D216DF" w:rsidRDefault="00D216DF" w:rsidP="00D216DF">
      <w:pPr>
        <w:pStyle w:val="ListParagraph"/>
        <w:numPr>
          <w:ilvl w:val="0"/>
          <w:numId w:val="42"/>
        </w:numPr>
        <w:spacing w:after="120" w:line="264" w:lineRule="auto"/>
        <w:rPr>
          <w:rFonts w:ascii="Times New Roman" w:hAnsi="Times New Roman"/>
          <w:b/>
          <w:bCs/>
        </w:rPr>
      </w:pPr>
      <w:r>
        <w:rPr>
          <w:rFonts w:ascii="Times New Roman" w:hAnsi="Times New Roman"/>
          <w:b/>
          <w:bCs/>
        </w:rPr>
        <w:t>Home Health CoP Changes</w:t>
      </w:r>
    </w:p>
    <w:p w14:paraId="2F8A5691" w14:textId="77777777" w:rsidR="00D216DF" w:rsidRDefault="00D216DF" w:rsidP="00D216DF">
      <w:pPr>
        <w:rPr>
          <w:rFonts w:ascii="Times New Roman" w:hAnsi="Times New Roman"/>
        </w:rPr>
      </w:pPr>
      <w:r>
        <w:rPr>
          <w:rFonts w:ascii="Times New Roman" w:hAnsi="Times New Roman"/>
        </w:rPr>
        <w:lastRenderedPageBreak/>
        <w:t xml:space="preserve">CMS claims they have received an increasing number of beneficiary complaints related to the difficulty finding a HHA to accept them for service. Beneficiaries complain that in some instances, HHA services are being altered or diminished from the original plan of care without an accompanying reduction in patient needs or achievement of the measurable outcomes and goals set forth in the plan of care. </w:t>
      </w:r>
    </w:p>
    <w:p w14:paraId="6927D476" w14:textId="77777777" w:rsidR="00D216DF" w:rsidRDefault="00D216DF" w:rsidP="00D216DF">
      <w:pPr>
        <w:rPr>
          <w:rFonts w:ascii="Times New Roman" w:hAnsi="Times New Roman"/>
        </w:rPr>
      </w:pPr>
      <w:r>
        <w:rPr>
          <w:rFonts w:ascii="Times New Roman" w:hAnsi="Times New Roman"/>
        </w:rPr>
        <w:t>In addition to the challenges of finding the right HHA and resultant potential delays in the timely initiation of home health care, CMS also expressed concerned that HHAs are at higher risk of overextending their available resources when accepting new patients to HHA services. Delays in service initiation may indicate not only that referral sources have difficulty locating an appropriate HHA, but also that HHAs are accepting patients when and for whom they are not capable of delivering timely care</w:t>
      </w:r>
    </w:p>
    <w:p w14:paraId="380EA043" w14:textId="77777777" w:rsidR="00D216DF" w:rsidRDefault="00D216DF" w:rsidP="00D216DF">
      <w:pPr>
        <w:rPr>
          <w:rFonts w:ascii="Times New Roman" w:hAnsi="Times New Roman"/>
        </w:rPr>
      </w:pPr>
      <w:r>
        <w:rPr>
          <w:rFonts w:ascii="Times New Roman" w:hAnsi="Times New Roman"/>
        </w:rPr>
        <w:t>To this end, CMS is proposing at § 484.105(</w:t>
      </w:r>
      <w:proofErr w:type="spellStart"/>
      <w:r>
        <w:rPr>
          <w:rFonts w:ascii="Times New Roman" w:hAnsi="Times New Roman"/>
        </w:rPr>
        <w:t>i</w:t>
      </w:r>
      <w:proofErr w:type="spellEnd"/>
      <w:r>
        <w:rPr>
          <w:rFonts w:ascii="Times New Roman" w:hAnsi="Times New Roman"/>
        </w:rPr>
        <w:t>)(1)(</w:t>
      </w:r>
      <w:proofErr w:type="spellStart"/>
      <w:r>
        <w:rPr>
          <w:rFonts w:ascii="Times New Roman" w:hAnsi="Times New Roman"/>
        </w:rPr>
        <w:t>i</w:t>
      </w:r>
      <w:proofErr w:type="spellEnd"/>
      <w:r>
        <w:rPr>
          <w:rFonts w:ascii="Times New Roman" w:hAnsi="Times New Roman"/>
        </w:rPr>
        <w:t>) through (iv), that HHAs would be required to include information regarding the HHA’s case load and case mix (that is, the volume and complexity of the patients currently receiving care from the HHA), anticipated needs of the referred prospective patient, the HHA’s current staffing levels, and the skills and competencies of the HHA staff. These proposed elements are designed to inform an HHA’s assessment of its capacity and determine its suitability to meet the anticipated needs of the prospective patient that has been referred for HHA services.</w:t>
      </w:r>
    </w:p>
    <w:p w14:paraId="24270BAC" w14:textId="77777777" w:rsidR="00D216DF" w:rsidRDefault="00D216DF" w:rsidP="00D216DF">
      <w:pPr>
        <w:rPr>
          <w:rFonts w:ascii="Times New Roman" w:hAnsi="Times New Roman"/>
        </w:rPr>
      </w:pPr>
      <w:r>
        <w:rPr>
          <w:rFonts w:ascii="Times New Roman" w:hAnsi="Times New Roman"/>
        </w:rPr>
        <w:t>CMS also proposes at § 484.105(</w:t>
      </w:r>
      <w:proofErr w:type="spellStart"/>
      <w:r>
        <w:rPr>
          <w:rFonts w:ascii="Times New Roman" w:hAnsi="Times New Roman"/>
        </w:rPr>
        <w:t>i</w:t>
      </w:r>
      <w:proofErr w:type="spellEnd"/>
      <w:r>
        <w:rPr>
          <w:rFonts w:ascii="Times New Roman" w:hAnsi="Times New Roman"/>
        </w:rPr>
        <w:t>)(2), that HHAs make public accurate information regarding the services offered by the HHA and any limitations related to the types of specialty services, service duration, or service frequency, and that HHAs review that information annually or as necessary.</w:t>
      </w:r>
    </w:p>
    <w:p w14:paraId="08F79D74" w14:textId="77777777" w:rsidR="00D216DF" w:rsidRDefault="00D216DF" w:rsidP="00D216DF">
      <w:pPr>
        <w:rPr>
          <w:rFonts w:ascii="Times New Roman" w:hAnsi="Times New Roman"/>
        </w:rPr>
      </w:pPr>
      <w:r>
        <w:rPr>
          <w:rFonts w:ascii="Times New Roman" w:hAnsi="Times New Roman"/>
        </w:rPr>
        <w:t xml:space="preserve">The Alliance has concerns with CMS’ proposal for the acceptance to service requirements, which include a prescribed acceptance to service policy and a requirement for HHAs to make publicly available information limitations on services, frequency and duration. The concerns CMS expresses around beneficiary access to home health services are not related to an agency’s process for accepting admissions. There are multiple reasons HHAs are not able to accept patients onto services, for example, available resources, an inability to identify a community practitioner, coverage criteria is not met, care needs are inappropriate for home setting, to name a few. </w:t>
      </w:r>
    </w:p>
    <w:p w14:paraId="1E60280F" w14:textId="77777777" w:rsidR="00D216DF" w:rsidRDefault="00D216DF" w:rsidP="00D216DF">
      <w:pPr>
        <w:rPr>
          <w:rFonts w:ascii="Times New Roman" w:hAnsi="Times New Roman"/>
          <w:i/>
          <w:iCs/>
        </w:rPr>
      </w:pPr>
      <w:r>
        <w:rPr>
          <w:rFonts w:ascii="Times New Roman" w:hAnsi="Times New Roman"/>
        </w:rPr>
        <w:t>However, in the current environment, the main reason beneficiaries are not able access home health services is because HHAs do not have the capacity to accept all referrals. HHA capacity continues to shrink because of the increasing cost of providing services along with reduced reimbursement and an ongoing workforce shortage</w:t>
      </w:r>
      <w:r>
        <w:rPr>
          <w:rFonts w:ascii="Times New Roman" w:hAnsi="Times New Roman"/>
          <w:i/>
          <w:iCs/>
        </w:rPr>
        <w:t xml:space="preserve"> </w:t>
      </w:r>
    </w:p>
    <w:p w14:paraId="69ED94C6" w14:textId="77777777" w:rsidR="00D216DF" w:rsidRDefault="00D216DF" w:rsidP="00D216DF">
      <w:pPr>
        <w:rPr>
          <w:rFonts w:ascii="Times New Roman" w:hAnsi="Times New Roman"/>
          <w:i/>
          <w:iCs/>
        </w:rPr>
      </w:pPr>
    </w:p>
    <w:p w14:paraId="5A715B27" w14:textId="77777777" w:rsidR="00D216DF" w:rsidRDefault="00D216DF" w:rsidP="00D216DF">
      <w:pPr>
        <w:rPr>
          <w:rFonts w:ascii="Times New Roman" w:hAnsi="Times New Roman"/>
        </w:rPr>
      </w:pPr>
      <w:r>
        <w:rPr>
          <w:rFonts w:ascii="Times New Roman" w:hAnsi="Times New Roman"/>
        </w:rPr>
        <w:t xml:space="preserve">Deep labor shortages, particularly in nurses and home health aides continue to be a challenge. HHAs are having an even greater time recruiting and retaining staff because of its precarious financial status that does not permit competitive compensation to clinician in comparison to hospitals and other care settings. HHAs are fully reliant on payments from Medicare, Medicaid, Medicare Advantage, and other government-based programs that have not raised reimbursements commensurate with labor. Resources are further strained by changes in operational policies. </w:t>
      </w:r>
    </w:p>
    <w:p w14:paraId="49C2BE3C" w14:textId="77777777" w:rsidR="00D216DF" w:rsidRDefault="00D216DF" w:rsidP="00D216DF">
      <w:pPr>
        <w:rPr>
          <w:rFonts w:ascii="Times New Roman" w:hAnsi="Times New Roman"/>
        </w:rPr>
      </w:pPr>
    </w:p>
    <w:p w14:paraId="4F08E02F" w14:textId="7956C565" w:rsidR="00D216DF" w:rsidRDefault="00D216DF" w:rsidP="00D216DF">
      <w:pPr>
        <w:rPr>
          <w:rFonts w:ascii="Times New Roman" w:hAnsi="Times New Roman"/>
        </w:rPr>
      </w:pPr>
      <w:r>
        <w:rPr>
          <w:rFonts w:ascii="Times New Roman" w:hAnsi="Times New Roman"/>
        </w:rPr>
        <w:t xml:space="preserve">For example, CMS’ policy for the collection and reporting of the OASIS data set on all patients beginning in 2025.  This policy alone has an unfunded $267 million price tag for HHAs, and for some HHAs, will have a significant impact on the availability for staff to meet the expanded collection requirement. Additionally, </w:t>
      </w:r>
      <w:r w:rsidR="006C3F00">
        <w:rPr>
          <w:rFonts w:ascii="Times New Roman" w:hAnsi="Times New Roman"/>
        </w:rPr>
        <w:t>the nationwide</w:t>
      </w:r>
      <w:r>
        <w:rPr>
          <w:rFonts w:ascii="Times New Roman" w:hAnsi="Times New Roman"/>
        </w:rPr>
        <w:t xml:space="preserve"> Home Health Valiue Based Purchasing program and the Review Choice Demonstration requires HHAs  to expend additional resources and disrupts operations.  CMS must be mindful of the impact policies implemented by federal agencies have on HHA resources and operations. </w:t>
      </w:r>
    </w:p>
    <w:p w14:paraId="228D437E" w14:textId="77777777" w:rsidR="00D216DF" w:rsidRDefault="00D216DF" w:rsidP="00D216DF">
      <w:pPr>
        <w:rPr>
          <w:rFonts w:ascii="Times New Roman" w:hAnsi="Times New Roman"/>
        </w:rPr>
      </w:pPr>
      <w:r>
        <w:rPr>
          <w:rFonts w:ascii="Times New Roman" w:hAnsi="Times New Roman"/>
        </w:rPr>
        <w:t xml:space="preserve">We are hearing increasing reports of HHAs receiving referrals for which there is not a community provider to follow the patient. The patient either has not identified a community practitioner or the referral source indicates an incorrect primary care practitioner. Referring patients to a HHA without identifying a community practitioner raises significant safety concerns for patients and liabilities for agencies. Because the HHA must conduct the initial evaluation visit within 48 hours of a patient’s return home or referral, many HHAs will not accept these patients even if they believe a practitioner can be identified readily.   </w:t>
      </w:r>
    </w:p>
    <w:p w14:paraId="2062F924" w14:textId="52B98072" w:rsidR="00D216DF" w:rsidRDefault="00D216DF" w:rsidP="00D216DF">
      <w:pPr>
        <w:rPr>
          <w:rFonts w:ascii="Times New Roman" w:hAnsi="Times New Roman" w:cstheme="minorBidi"/>
          <w:i/>
          <w:iCs/>
        </w:rPr>
      </w:pPr>
      <w:r>
        <w:rPr>
          <w:rFonts w:ascii="Times New Roman" w:hAnsi="Times New Roman"/>
        </w:rPr>
        <w:lastRenderedPageBreak/>
        <w:t>CMS’ also expresses concern that “</w:t>
      </w:r>
      <w:r>
        <w:rPr>
          <w:rFonts w:ascii="Times New Roman" w:hAnsi="Times New Roman"/>
          <w:i/>
          <w:iCs/>
        </w:rPr>
        <w:t>delays in service initiation may indicate not only that referral sources have difficulty locating an appropriate HHA, but also that HHAs are accepting patients when and for whom they are not capable of delivering timely care</w:t>
      </w:r>
      <w:r>
        <w:rPr>
          <w:rFonts w:ascii="Times New Roman" w:hAnsi="Times New Roman"/>
        </w:rPr>
        <w:t xml:space="preserve">” CMS seems to be setting policy on an assumed effect of delays in </w:t>
      </w:r>
      <w:r w:rsidR="009338F7">
        <w:rPr>
          <w:rFonts w:ascii="Times New Roman" w:hAnsi="Times New Roman"/>
        </w:rPr>
        <w:t>services and</w:t>
      </w:r>
      <w:r>
        <w:rPr>
          <w:rFonts w:ascii="Times New Roman" w:hAnsi="Times New Roman"/>
        </w:rPr>
        <w:t xml:space="preserve"> does not provide any analysis on the scope of the problem or types of patients that have or maybe impacted.  CMS only states that they are “..</w:t>
      </w:r>
      <w:r>
        <w:rPr>
          <w:rFonts w:ascii="Times New Roman" w:hAnsi="Times New Roman"/>
          <w:i/>
          <w:iCs/>
        </w:rPr>
        <w:t xml:space="preserve">aware of anecdotal reports of home care agencies not providing care to meet patient needs.”   </w:t>
      </w:r>
    </w:p>
    <w:p w14:paraId="0FFC8EAE" w14:textId="77777777" w:rsidR="00D216DF" w:rsidRDefault="00D216DF" w:rsidP="00D216DF">
      <w:pPr>
        <w:rPr>
          <w:rFonts w:ascii="Times New Roman" w:hAnsi="Times New Roman"/>
        </w:rPr>
      </w:pPr>
      <w:r>
        <w:rPr>
          <w:rFonts w:ascii="Times New Roman" w:hAnsi="Times New Roman"/>
        </w:rPr>
        <w:t xml:space="preserve">Although staffing changes can impact services provided and there will always be unforeseen circumstances, in any health care setting, that may alter capacity, HHAs do not routinely admit patients for which they cannot provide services. HHAs have admission policies in place that take into consideration the agency’s capacity and clinical skills of staff when determining whether to accept a patient onto services. Additionally, there are standards at §484.60 to ensure HHAs only accept those patients for whom there is a reasonable expectation that the agency will be able to meet the patient’s needs. </w:t>
      </w:r>
    </w:p>
    <w:p w14:paraId="66FA7051" w14:textId="77777777" w:rsidR="00D216DF" w:rsidRDefault="00D216DF" w:rsidP="00D216DF">
      <w:pPr>
        <w:rPr>
          <w:rFonts w:ascii="Times New Roman" w:hAnsi="Times New Roman"/>
        </w:rPr>
      </w:pPr>
      <w:r>
        <w:rPr>
          <w:rFonts w:ascii="Times New Roman" w:hAnsi="Times New Roman"/>
        </w:rPr>
        <w:t xml:space="preserve">CMS proposals for an acceptance to service policy and requiring HHAs make publicly available information on the HHA’s service, duration and frequency, do not address the root causes around beneficiary access to home health services, and therefore, will not likely help to mitigate the problem.  An acceptance to service policy as proposed will not increase an agency’s capacity or help to address many of the other reasons for non-acceptance onto services. In terms of transparency and HHAs making publicly available information on services offered, many agencies list on their website the services they provide. This information is also available on the CMS Care Compare website.  Perhaps referral sources are not consulting these resources. Also, there is confusion around what CMS expects regarding the HHA’s listing limitations on frequency and duration of services that is to be made publicly available. </w:t>
      </w:r>
    </w:p>
    <w:p w14:paraId="30B3BBBA" w14:textId="77777777" w:rsidR="00D216DF" w:rsidRDefault="00D216DF" w:rsidP="00D216DF">
      <w:pPr>
        <w:rPr>
          <w:rFonts w:ascii="Times New Roman" w:hAnsi="Times New Roman" w:cstheme="minorBidi"/>
        </w:rPr>
      </w:pPr>
      <w:r>
        <w:rPr>
          <w:rFonts w:ascii="Times New Roman" w:hAnsi="Times New Roman"/>
        </w:rPr>
        <w:t xml:space="preserve">Furthermore, we have concerns with CMS’ following stated position. </w:t>
      </w:r>
    </w:p>
    <w:p w14:paraId="7A35A269" w14:textId="77777777" w:rsidR="00D216DF" w:rsidRDefault="00D216DF" w:rsidP="00D216DF">
      <w:pPr>
        <w:ind w:left="720"/>
        <w:rPr>
          <w:rFonts w:ascii="Times New Roman" w:hAnsi="Times New Roman"/>
        </w:rPr>
      </w:pPr>
      <w:r>
        <w:rPr>
          <w:rFonts w:ascii="Times New Roman" w:hAnsi="Times New Roman"/>
        </w:rPr>
        <w:t>“…</w:t>
      </w:r>
      <w:r>
        <w:rPr>
          <w:rFonts w:ascii="Times New Roman" w:hAnsi="Times New Roman"/>
          <w:i/>
          <w:iCs/>
        </w:rPr>
        <w:t>if an HHA accepts payment from both Medicare and another payment source, ‘‘source X,’’ the HHA’s referral policy should be applied consistently to referrals for patients having Medicare or ‘‘source X’’ as a payment source. It is our position that HHAs should accept or decline patient referrals based solely on clinical considerations and the capacity of the HHA to safely and effectively deliver care to meet patient needs, rather than on financial factors related to the perceived adequacy of the payment rate that the HHA has already voluntarily agreed to accept upon establishment of relationships with its payment sources</w:t>
      </w:r>
      <w:r>
        <w:rPr>
          <w:rFonts w:ascii="Times New Roman" w:hAnsi="Times New Roman"/>
        </w:rPr>
        <w:t>.”</w:t>
      </w:r>
    </w:p>
    <w:p w14:paraId="76A4A029" w14:textId="77777777" w:rsidR="00D216DF" w:rsidRDefault="00D216DF" w:rsidP="00D216DF">
      <w:pPr>
        <w:rPr>
          <w:rFonts w:ascii="Times New Roman" w:hAnsi="Times New Roman"/>
          <w:color w:val="FF0000"/>
        </w:rPr>
      </w:pPr>
      <w:r>
        <w:rPr>
          <w:rFonts w:ascii="Times New Roman" w:hAnsi="Times New Roman"/>
          <w:color w:val="FF0000"/>
        </w:rPr>
        <w:t xml:space="preserve">Bill is to develop comments on this piece </w:t>
      </w:r>
    </w:p>
    <w:p w14:paraId="24A13537" w14:textId="77777777" w:rsidR="00D216DF" w:rsidRDefault="00D216DF" w:rsidP="00D216DF">
      <w:pPr>
        <w:rPr>
          <w:rFonts w:ascii="Times New Roman" w:hAnsi="Times New Roman"/>
        </w:rPr>
      </w:pPr>
      <w:r>
        <w:rPr>
          <w:rFonts w:ascii="Times New Roman" w:hAnsi="Times New Roman"/>
        </w:rPr>
        <w:t xml:space="preserve">Recommendations: CMS should: </w:t>
      </w:r>
    </w:p>
    <w:p w14:paraId="57833D3F" w14:textId="77777777" w:rsidR="00D216DF" w:rsidRDefault="00D216DF" w:rsidP="00D216DF">
      <w:pPr>
        <w:pStyle w:val="ListParagraph"/>
        <w:numPr>
          <w:ilvl w:val="0"/>
          <w:numId w:val="43"/>
        </w:numPr>
        <w:spacing w:after="120" w:line="264" w:lineRule="auto"/>
        <w:rPr>
          <w:rFonts w:ascii="Times New Roman" w:hAnsi="Times New Roman"/>
        </w:rPr>
      </w:pPr>
      <w:r>
        <w:rPr>
          <w:rFonts w:ascii="Times New Roman" w:hAnsi="Times New Roman"/>
        </w:rPr>
        <w:t>Withdrawal its proposal at § 484.105(</w:t>
      </w:r>
      <w:proofErr w:type="spellStart"/>
      <w:r>
        <w:rPr>
          <w:rFonts w:ascii="Times New Roman" w:hAnsi="Times New Roman"/>
        </w:rPr>
        <w:t>i</w:t>
      </w:r>
      <w:proofErr w:type="spellEnd"/>
      <w:r>
        <w:rPr>
          <w:rFonts w:ascii="Times New Roman" w:hAnsi="Times New Roman"/>
        </w:rPr>
        <w:t>)(1)(</w:t>
      </w:r>
      <w:proofErr w:type="spellStart"/>
      <w:r>
        <w:rPr>
          <w:rFonts w:ascii="Times New Roman" w:hAnsi="Times New Roman"/>
        </w:rPr>
        <w:t>i</w:t>
      </w:r>
      <w:proofErr w:type="spellEnd"/>
      <w:r>
        <w:rPr>
          <w:rFonts w:ascii="Times New Roman" w:hAnsi="Times New Roman"/>
        </w:rPr>
        <w:t>) through (iv), for an acceptance to service policy and to require HHAs make publicly available information on services, and limitations on frequency and duration.</w:t>
      </w:r>
    </w:p>
    <w:p w14:paraId="60D1718D" w14:textId="77777777" w:rsidR="00D216DF" w:rsidRDefault="00D216DF" w:rsidP="00D216DF">
      <w:pPr>
        <w:pStyle w:val="ListParagraph"/>
        <w:numPr>
          <w:ilvl w:val="0"/>
          <w:numId w:val="43"/>
        </w:numPr>
        <w:spacing w:after="120" w:line="264" w:lineRule="auto"/>
        <w:rPr>
          <w:rFonts w:ascii="Times New Roman" w:hAnsi="Times New Roman"/>
        </w:rPr>
      </w:pPr>
      <w:r>
        <w:rPr>
          <w:rFonts w:ascii="Times New Roman" w:hAnsi="Times New Roman"/>
        </w:rPr>
        <w:t xml:space="preserve">Continue to seek feedback from stakeholders to determine the root cause for the decreases in patient access to home health services.   </w:t>
      </w:r>
    </w:p>
    <w:p w14:paraId="5DFE1BFE" w14:textId="77777777" w:rsidR="00D216DF" w:rsidRDefault="00D216DF" w:rsidP="00D216DF">
      <w:pPr>
        <w:ind w:left="53"/>
        <w:rPr>
          <w:rFonts w:ascii="Times New Roman" w:hAnsi="Times New Roman"/>
        </w:rPr>
      </w:pPr>
      <w:r>
        <w:rPr>
          <w:rFonts w:ascii="Times New Roman" w:hAnsi="Times New Roman"/>
        </w:rPr>
        <w:t xml:space="preserve"> </w:t>
      </w:r>
    </w:p>
    <w:p w14:paraId="4039A169" w14:textId="77777777" w:rsidR="000770CE" w:rsidRDefault="000770CE" w:rsidP="003E60B2">
      <w:pPr>
        <w:spacing w:after="160" w:line="259" w:lineRule="auto"/>
        <w:rPr>
          <w:rFonts w:ascii="Times New Roman" w:eastAsiaTheme="minorHAnsi" w:hAnsi="Times New Roman"/>
          <w:b/>
          <w:bCs/>
          <w:kern w:val="2"/>
          <w:szCs w:val="22"/>
          <w14:ligatures w14:val="standardContextual"/>
        </w:rPr>
      </w:pPr>
    </w:p>
    <w:p w14:paraId="47A7638F" w14:textId="77777777" w:rsidR="000770CE" w:rsidRDefault="000770CE" w:rsidP="003E60B2">
      <w:pPr>
        <w:spacing w:after="160" w:line="259" w:lineRule="auto"/>
        <w:rPr>
          <w:rFonts w:ascii="Times New Roman" w:eastAsiaTheme="minorHAnsi" w:hAnsi="Times New Roman"/>
          <w:b/>
          <w:bCs/>
          <w:kern w:val="2"/>
          <w:szCs w:val="22"/>
          <w14:ligatures w14:val="standardContextual"/>
        </w:rPr>
      </w:pPr>
    </w:p>
    <w:p w14:paraId="41AF516A" w14:textId="77777777" w:rsidR="000770CE" w:rsidRDefault="000770CE" w:rsidP="003E60B2">
      <w:pPr>
        <w:spacing w:after="160" w:line="259" w:lineRule="auto"/>
        <w:rPr>
          <w:rFonts w:ascii="Times New Roman" w:eastAsiaTheme="minorHAnsi" w:hAnsi="Times New Roman"/>
          <w:b/>
          <w:bCs/>
          <w:kern w:val="2"/>
          <w:szCs w:val="22"/>
          <w14:ligatures w14:val="standardContextual"/>
        </w:rPr>
      </w:pPr>
    </w:p>
    <w:p w14:paraId="476ADD78" w14:textId="347C55E1" w:rsidR="003E60B2" w:rsidRPr="007C2440" w:rsidRDefault="007C2440" w:rsidP="003E60B2">
      <w:pPr>
        <w:spacing w:after="160" w:line="259" w:lineRule="auto"/>
        <w:rPr>
          <w:rFonts w:ascii="Times New Roman" w:eastAsiaTheme="minorHAnsi" w:hAnsi="Times New Roman"/>
          <w:b/>
          <w:bCs/>
          <w:kern w:val="2"/>
          <w:szCs w:val="22"/>
          <w14:ligatures w14:val="standardContextual"/>
        </w:rPr>
      </w:pPr>
      <w:r>
        <w:rPr>
          <w:rFonts w:ascii="Times New Roman" w:eastAsiaTheme="minorHAnsi" w:hAnsi="Times New Roman"/>
          <w:b/>
          <w:bCs/>
          <w:kern w:val="2"/>
          <w:szCs w:val="22"/>
          <w14:ligatures w14:val="standardContextual"/>
        </w:rPr>
        <w:t>Conclusion</w:t>
      </w:r>
    </w:p>
    <w:p w14:paraId="69BF2FF7" w14:textId="77777777" w:rsidR="003E60B2" w:rsidRDefault="003E60B2" w:rsidP="003E60B2">
      <w:pPr>
        <w:spacing w:after="160" w:line="259" w:lineRule="auto"/>
        <w:rPr>
          <w:rFonts w:ascii="Times New Roman" w:eastAsiaTheme="minorHAnsi" w:hAnsi="Times New Roman"/>
          <w:kern w:val="2"/>
          <w:szCs w:val="22"/>
          <w14:ligatures w14:val="standardContextual"/>
        </w:rPr>
      </w:pPr>
    </w:p>
    <w:p w14:paraId="05ED53DF" w14:textId="15B7C255" w:rsidR="00993074" w:rsidRPr="003E60B2" w:rsidRDefault="00993074"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 xml:space="preserve">Thank you for the opportunity to submit these comments. As you will note from our comments, we take this process very seriously and </w:t>
      </w:r>
      <w:r w:rsidR="00AC4746">
        <w:rPr>
          <w:rFonts w:ascii="Times New Roman" w:eastAsiaTheme="minorHAnsi" w:hAnsi="Times New Roman"/>
          <w:kern w:val="2"/>
          <w:szCs w:val="22"/>
          <w14:ligatures w14:val="standardContextual"/>
        </w:rPr>
        <w:t xml:space="preserve">we are confident that CMS will give our comments </w:t>
      </w:r>
      <w:r w:rsidR="007A3D42">
        <w:rPr>
          <w:rFonts w:ascii="Times New Roman" w:eastAsiaTheme="minorHAnsi" w:hAnsi="Times New Roman"/>
          <w:kern w:val="2"/>
          <w:szCs w:val="22"/>
          <w14:ligatures w14:val="standardContextual"/>
        </w:rPr>
        <w:t xml:space="preserve">thoughtful </w:t>
      </w:r>
      <w:r w:rsidR="007A3D42">
        <w:rPr>
          <w:rFonts w:ascii="Times New Roman" w:eastAsiaTheme="minorHAnsi" w:hAnsi="Times New Roman"/>
          <w:kern w:val="2"/>
          <w:szCs w:val="22"/>
          <w14:ligatures w14:val="standardContextual"/>
        </w:rPr>
        <w:lastRenderedPageBreak/>
        <w:t>consideration</w:t>
      </w:r>
      <w:r w:rsidR="00AC4746">
        <w:rPr>
          <w:rFonts w:ascii="Times New Roman" w:eastAsiaTheme="minorHAnsi" w:hAnsi="Times New Roman"/>
          <w:kern w:val="2"/>
          <w:szCs w:val="22"/>
          <w14:ligatures w14:val="standardContextual"/>
        </w:rPr>
        <w:t xml:space="preserve"> as well. </w:t>
      </w:r>
      <w:r w:rsidR="00AF0507">
        <w:rPr>
          <w:rFonts w:ascii="Times New Roman" w:eastAsiaTheme="minorHAnsi" w:hAnsi="Times New Roman"/>
          <w:kern w:val="2"/>
          <w:szCs w:val="22"/>
          <w14:ligatures w14:val="standardContextual"/>
        </w:rPr>
        <w:t xml:space="preserve">The contents of the proposed rule will have </w:t>
      </w:r>
      <w:r w:rsidR="000F554D">
        <w:rPr>
          <w:rFonts w:ascii="Times New Roman" w:eastAsiaTheme="minorHAnsi" w:hAnsi="Times New Roman"/>
          <w:kern w:val="2"/>
          <w:szCs w:val="22"/>
          <w14:ligatures w14:val="standardContextual"/>
        </w:rPr>
        <w:t>a significant</w:t>
      </w:r>
      <w:r w:rsidR="00AF0507">
        <w:rPr>
          <w:rFonts w:ascii="Times New Roman" w:eastAsiaTheme="minorHAnsi" w:hAnsi="Times New Roman"/>
          <w:kern w:val="2"/>
          <w:szCs w:val="22"/>
          <w14:ligatures w14:val="standardContextual"/>
        </w:rPr>
        <w:t xml:space="preserve"> impact on the abilities of HHAs to serve individuals in need of essential home health services.</w:t>
      </w:r>
      <w:r w:rsidR="00AC4746">
        <w:rPr>
          <w:rFonts w:ascii="Times New Roman" w:eastAsiaTheme="minorHAnsi" w:hAnsi="Times New Roman"/>
          <w:kern w:val="2"/>
          <w:szCs w:val="22"/>
          <w14:ligatures w14:val="standardContextual"/>
        </w:rPr>
        <w:t xml:space="preserve"> </w:t>
      </w:r>
    </w:p>
    <w:p w14:paraId="669FFBBB" w14:textId="77777777" w:rsidR="003E60B2" w:rsidRDefault="003E60B2" w:rsidP="003E60B2">
      <w:pPr>
        <w:spacing w:after="160" w:line="259" w:lineRule="auto"/>
        <w:rPr>
          <w:rFonts w:ascii="Times New Roman" w:eastAsiaTheme="minorHAnsi" w:hAnsi="Times New Roman"/>
          <w:kern w:val="2"/>
          <w:szCs w:val="22"/>
          <w14:ligatures w14:val="standardContextual"/>
        </w:rPr>
      </w:pPr>
    </w:p>
    <w:p w14:paraId="014657B6" w14:textId="38939FB2" w:rsidR="0067714A" w:rsidRDefault="0067714A"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Very truly yours,</w:t>
      </w:r>
    </w:p>
    <w:p w14:paraId="6522CECA" w14:textId="2BC1D2FC" w:rsidR="0067714A" w:rsidRDefault="0067714A"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noProof/>
          <w:kern w:val="2"/>
          <w:szCs w:val="22"/>
          <w14:ligatures w14:val="standardContextual"/>
        </w:rPr>
        <w:drawing>
          <wp:inline distT="0" distB="0" distL="0" distR="0" wp14:anchorId="45C7EA75" wp14:editId="09CD6F37">
            <wp:extent cx="1827956" cy="388620"/>
            <wp:effectExtent l="0" t="0" r="1270" b="0"/>
            <wp:docPr id="440927772" name="Picture 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7772" name="Picture 3" descr="A close-up of a signatur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2213" cy="389525"/>
                    </a:xfrm>
                    <a:prstGeom prst="rect">
                      <a:avLst/>
                    </a:prstGeom>
                  </pic:spPr>
                </pic:pic>
              </a:graphicData>
            </a:graphic>
          </wp:inline>
        </w:drawing>
      </w:r>
    </w:p>
    <w:p w14:paraId="6062A342" w14:textId="26B63A00" w:rsidR="0067714A" w:rsidRDefault="0067714A"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President</w:t>
      </w:r>
      <w:r w:rsidR="0006536D">
        <w:rPr>
          <w:rFonts w:ascii="Times New Roman" w:eastAsiaTheme="minorHAnsi" w:hAnsi="Times New Roman"/>
          <w:kern w:val="2"/>
          <w:szCs w:val="22"/>
          <w14:ligatures w14:val="standardContextual"/>
        </w:rPr>
        <w:t xml:space="preserve"> and CEO-NAHC</w:t>
      </w:r>
    </w:p>
    <w:p w14:paraId="084467B1" w14:textId="705F5FB6" w:rsidR="0006536D" w:rsidRDefault="0006536D"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President Emeritus and Of Counsel</w:t>
      </w:r>
    </w:p>
    <w:p w14:paraId="7842BF2F" w14:textId="123DBC51" w:rsidR="0006536D" w:rsidRDefault="0006536D"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NAHC-NHPCO Alliance</w:t>
      </w:r>
    </w:p>
    <w:p w14:paraId="5D14FF13" w14:textId="77777777" w:rsidR="00996C86" w:rsidRDefault="00996C86" w:rsidP="003E60B2">
      <w:pPr>
        <w:spacing w:after="160" w:line="259" w:lineRule="auto"/>
        <w:rPr>
          <w:rFonts w:ascii="Times New Roman" w:eastAsiaTheme="minorHAnsi" w:hAnsi="Times New Roman"/>
          <w:kern w:val="2"/>
          <w:szCs w:val="22"/>
          <w14:ligatures w14:val="standardContextual"/>
        </w:rPr>
      </w:pPr>
    </w:p>
    <w:p w14:paraId="180D3F30" w14:textId="2AF6F2C7" w:rsidR="00996C86" w:rsidRDefault="00996C86"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Mary C. Carr, RN</w:t>
      </w:r>
    </w:p>
    <w:p w14:paraId="6694CB75" w14:textId="4B67E933" w:rsidR="00996C86" w:rsidRDefault="00996C86"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Vice</w:t>
      </w:r>
      <w:r w:rsidR="00F600F1">
        <w:rPr>
          <w:rFonts w:ascii="Times New Roman" w:eastAsiaTheme="minorHAnsi" w:hAnsi="Times New Roman"/>
          <w:kern w:val="2"/>
          <w:szCs w:val="22"/>
          <w14:ligatures w14:val="standardContextual"/>
        </w:rPr>
        <w:t xml:space="preserve"> P</w:t>
      </w:r>
      <w:r>
        <w:rPr>
          <w:rFonts w:ascii="Times New Roman" w:eastAsiaTheme="minorHAnsi" w:hAnsi="Times New Roman"/>
          <w:kern w:val="2"/>
          <w:szCs w:val="22"/>
          <w14:ligatures w14:val="standardContextual"/>
        </w:rPr>
        <w:t>resident for Regulatory Affairs</w:t>
      </w:r>
      <w:r w:rsidR="001E3625">
        <w:rPr>
          <w:rFonts w:ascii="Times New Roman" w:eastAsiaTheme="minorHAnsi" w:hAnsi="Times New Roman"/>
          <w:kern w:val="2"/>
          <w:szCs w:val="22"/>
          <w14:ligatures w14:val="standardContextual"/>
        </w:rPr>
        <w:t>=NAHC</w:t>
      </w:r>
    </w:p>
    <w:p w14:paraId="3E9981CC" w14:textId="4F7E054D" w:rsidR="001E3625" w:rsidRDefault="001E3625" w:rsidP="003E60B2">
      <w:pPr>
        <w:spacing w:after="160" w:line="259" w:lineRule="auto"/>
        <w:rPr>
          <w:rFonts w:ascii="Times New Roman" w:eastAsiaTheme="minorHAnsi" w:hAnsi="Times New Roman"/>
          <w:kern w:val="2"/>
          <w:szCs w:val="22"/>
          <w14:ligatures w14:val="standardContextual"/>
        </w:rPr>
      </w:pPr>
      <w:r>
        <w:rPr>
          <w:rFonts w:ascii="Times New Roman" w:eastAsiaTheme="minorHAnsi" w:hAnsi="Times New Roman"/>
          <w:kern w:val="2"/>
          <w:szCs w:val="22"/>
          <w14:ligatures w14:val="standardContextual"/>
        </w:rPr>
        <w:t>NAHC-NHPCO Alliance</w:t>
      </w:r>
    </w:p>
    <w:p w14:paraId="25B86B9E" w14:textId="77777777" w:rsidR="00A62789" w:rsidRDefault="00A62789" w:rsidP="00C32627">
      <w:pPr>
        <w:rPr>
          <w:rFonts w:ascii="Times New Roman" w:hAnsi="Times New Roman"/>
          <w:b/>
          <w:bCs/>
          <w:szCs w:val="22"/>
          <w:u w:val="single"/>
        </w:rPr>
      </w:pPr>
    </w:p>
    <w:p w14:paraId="77EBE07C" w14:textId="77777777" w:rsidR="00A62789" w:rsidRDefault="00A62789" w:rsidP="00C32627">
      <w:pPr>
        <w:rPr>
          <w:rFonts w:ascii="Times New Roman" w:hAnsi="Times New Roman"/>
          <w:b/>
          <w:bCs/>
          <w:szCs w:val="22"/>
          <w:u w:val="single"/>
        </w:rPr>
      </w:pPr>
    </w:p>
    <w:p w14:paraId="626A2D89" w14:textId="561BF687" w:rsidR="00F600F1" w:rsidRPr="005917A1" w:rsidRDefault="005917A1" w:rsidP="00C32627">
      <w:pPr>
        <w:rPr>
          <w:rFonts w:ascii="Times New Roman" w:hAnsi="Times New Roman"/>
          <w:b/>
          <w:bCs/>
          <w:color w:val="FF0000"/>
          <w:szCs w:val="22"/>
          <w:u w:val="single"/>
        </w:rPr>
      </w:pPr>
      <w:r>
        <w:rPr>
          <w:rFonts w:ascii="Times New Roman" w:hAnsi="Times New Roman"/>
          <w:b/>
          <w:bCs/>
          <w:color w:val="FF0000"/>
          <w:szCs w:val="22"/>
          <w:u w:val="single"/>
        </w:rPr>
        <w:t xml:space="preserve">2023 </w:t>
      </w:r>
      <w:r w:rsidR="003034D3" w:rsidRPr="005917A1">
        <w:rPr>
          <w:rFonts w:ascii="Times New Roman" w:hAnsi="Times New Roman"/>
          <w:b/>
          <w:bCs/>
          <w:color w:val="FF0000"/>
          <w:szCs w:val="22"/>
          <w:u w:val="single"/>
        </w:rPr>
        <w:t>State Association Co-signers</w:t>
      </w:r>
    </w:p>
    <w:p w14:paraId="22AE5C5D" w14:textId="77777777" w:rsidR="00175B6B" w:rsidRPr="005917A1" w:rsidRDefault="00175B6B" w:rsidP="00C32627">
      <w:pPr>
        <w:rPr>
          <w:rFonts w:ascii="Times New Roman" w:hAnsi="Times New Roman"/>
          <w:b/>
          <w:bCs/>
          <w:color w:val="FF0000"/>
          <w:szCs w:val="22"/>
        </w:rPr>
      </w:pPr>
    </w:p>
    <w:p w14:paraId="751AE99C" w14:textId="6C2A027D" w:rsidR="00C32627" w:rsidRPr="005917A1" w:rsidRDefault="009F1C55" w:rsidP="00C32627">
      <w:pPr>
        <w:rPr>
          <w:rFonts w:ascii="Times New Roman" w:hAnsi="Times New Roman"/>
          <w:b/>
          <w:bCs/>
          <w:color w:val="FF0000"/>
          <w:szCs w:val="22"/>
        </w:rPr>
      </w:pPr>
      <w:r w:rsidRPr="005917A1">
        <w:rPr>
          <w:rFonts w:ascii="Times New Roman" w:hAnsi="Times New Roman"/>
          <w:b/>
          <w:bCs/>
          <w:color w:val="FF0000"/>
          <w:szCs w:val="22"/>
        </w:rPr>
        <w:t>Arizona Association</w:t>
      </w:r>
      <w:r w:rsidR="00CB22B7" w:rsidRPr="005917A1">
        <w:rPr>
          <w:rFonts w:ascii="Times New Roman" w:hAnsi="Times New Roman"/>
          <w:b/>
          <w:bCs/>
          <w:color w:val="FF0000"/>
          <w:szCs w:val="22"/>
        </w:rPr>
        <w:t xml:space="preserve"> for Home Care</w:t>
      </w:r>
    </w:p>
    <w:p w14:paraId="3DA4A326" w14:textId="3C92320B" w:rsidR="007B7CF0" w:rsidRPr="005917A1" w:rsidRDefault="007B7CF0" w:rsidP="00C32627">
      <w:pPr>
        <w:rPr>
          <w:rFonts w:ascii="Times New Roman" w:hAnsi="Times New Roman"/>
          <w:b/>
          <w:bCs/>
          <w:color w:val="FF0000"/>
          <w:szCs w:val="22"/>
        </w:rPr>
      </w:pPr>
      <w:proofErr w:type="spellStart"/>
      <w:r w:rsidRPr="005917A1">
        <w:rPr>
          <w:rFonts w:ascii="Times New Roman" w:hAnsi="Times New Roman"/>
          <w:b/>
          <w:bCs/>
          <w:color w:val="FF0000"/>
          <w:szCs w:val="22"/>
        </w:rPr>
        <w:t>HomeCare</w:t>
      </w:r>
      <w:proofErr w:type="spellEnd"/>
      <w:r w:rsidRPr="005917A1">
        <w:rPr>
          <w:rFonts w:ascii="Times New Roman" w:hAnsi="Times New Roman"/>
          <w:b/>
          <w:bCs/>
          <w:color w:val="FF0000"/>
          <w:szCs w:val="22"/>
        </w:rPr>
        <w:t xml:space="preserve"> Association of Arkansas</w:t>
      </w:r>
    </w:p>
    <w:p w14:paraId="5A9FC896" w14:textId="48C6220D" w:rsidR="00CB22B7" w:rsidRPr="005917A1" w:rsidRDefault="00CB22B7" w:rsidP="00C32627">
      <w:pPr>
        <w:rPr>
          <w:rFonts w:ascii="Times New Roman" w:hAnsi="Times New Roman"/>
          <w:b/>
          <w:bCs/>
          <w:color w:val="FF0000"/>
          <w:szCs w:val="22"/>
        </w:rPr>
      </w:pPr>
      <w:r w:rsidRPr="005917A1">
        <w:rPr>
          <w:rFonts w:ascii="Times New Roman" w:hAnsi="Times New Roman"/>
          <w:b/>
          <w:bCs/>
          <w:color w:val="FF0000"/>
          <w:szCs w:val="22"/>
        </w:rPr>
        <w:t xml:space="preserve">California Association for </w:t>
      </w:r>
      <w:r w:rsidR="004A1146" w:rsidRPr="005917A1">
        <w:rPr>
          <w:rFonts w:ascii="Times New Roman" w:hAnsi="Times New Roman"/>
          <w:b/>
          <w:bCs/>
          <w:color w:val="FF0000"/>
          <w:szCs w:val="22"/>
        </w:rPr>
        <w:t>Health Services at Home</w:t>
      </w:r>
    </w:p>
    <w:p w14:paraId="320AD528" w14:textId="77B98CFF" w:rsidR="00060729" w:rsidRPr="005917A1" w:rsidRDefault="00060729" w:rsidP="00C32627">
      <w:pPr>
        <w:rPr>
          <w:rFonts w:ascii="Times New Roman" w:hAnsi="Times New Roman"/>
          <w:b/>
          <w:bCs/>
          <w:color w:val="FF0000"/>
          <w:szCs w:val="22"/>
        </w:rPr>
      </w:pPr>
      <w:r w:rsidRPr="005917A1">
        <w:rPr>
          <w:rFonts w:ascii="Times New Roman" w:hAnsi="Times New Roman"/>
          <w:b/>
          <w:bCs/>
          <w:color w:val="FF0000"/>
          <w:szCs w:val="22"/>
        </w:rPr>
        <w:t xml:space="preserve">California Hospice and Palliative Care Association </w:t>
      </w:r>
    </w:p>
    <w:p w14:paraId="552D544E" w14:textId="6F72A29B" w:rsidR="00B05897" w:rsidRPr="005917A1" w:rsidRDefault="00B05897" w:rsidP="00C32627">
      <w:pPr>
        <w:rPr>
          <w:rFonts w:ascii="Times New Roman" w:hAnsi="Times New Roman"/>
          <w:b/>
          <w:bCs/>
          <w:color w:val="FF0000"/>
          <w:szCs w:val="22"/>
        </w:rPr>
      </w:pPr>
      <w:r w:rsidRPr="005917A1">
        <w:rPr>
          <w:rFonts w:ascii="Times New Roman" w:hAnsi="Times New Roman"/>
          <w:b/>
          <w:bCs/>
          <w:color w:val="FF0000"/>
          <w:szCs w:val="22"/>
        </w:rPr>
        <w:t>Home Care Association of Colorado</w:t>
      </w:r>
    </w:p>
    <w:p w14:paraId="4B34B48A" w14:textId="2920A610" w:rsidR="001C5962" w:rsidRPr="005917A1" w:rsidRDefault="001C5962" w:rsidP="00C32627">
      <w:pPr>
        <w:rPr>
          <w:rFonts w:ascii="Times New Roman" w:hAnsi="Times New Roman"/>
          <w:b/>
          <w:bCs/>
          <w:color w:val="FF0000"/>
          <w:szCs w:val="22"/>
        </w:rPr>
      </w:pPr>
      <w:r w:rsidRPr="005917A1">
        <w:rPr>
          <w:rFonts w:ascii="Times New Roman" w:hAnsi="Times New Roman"/>
          <w:b/>
          <w:bCs/>
          <w:color w:val="FF0000"/>
          <w:szCs w:val="22"/>
        </w:rPr>
        <w:t>Connecti</w:t>
      </w:r>
      <w:r w:rsidR="000225F5" w:rsidRPr="005917A1">
        <w:rPr>
          <w:rFonts w:ascii="Times New Roman" w:hAnsi="Times New Roman"/>
          <w:b/>
          <w:bCs/>
          <w:color w:val="FF0000"/>
          <w:szCs w:val="22"/>
        </w:rPr>
        <w:t>cut Association for Health</w:t>
      </w:r>
      <w:r w:rsidR="00DC519B" w:rsidRPr="005917A1">
        <w:rPr>
          <w:rFonts w:ascii="Times New Roman" w:hAnsi="Times New Roman"/>
          <w:b/>
          <w:bCs/>
          <w:color w:val="FF0000"/>
          <w:szCs w:val="22"/>
        </w:rPr>
        <w:t>c</w:t>
      </w:r>
      <w:r w:rsidR="000225F5" w:rsidRPr="005917A1">
        <w:rPr>
          <w:rFonts w:ascii="Times New Roman" w:hAnsi="Times New Roman"/>
          <w:b/>
          <w:bCs/>
          <w:color w:val="FF0000"/>
          <w:szCs w:val="22"/>
        </w:rPr>
        <w:t>are at Home</w:t>
      </w:r>
    </w:p>
    <w:p w14:paraId="60452F36" w14:textId="5339C178" w:rsidR="0040142C" w:rsidRPr="005917A1" w:rsidRDefault="0040142C" w:rsidP="00C32627">
      <w:pPr>
        <w:rPr>
          <w:rFonts w:ascii="Times New Roman" w:hAnsi="Times New Roman"/>
          <w:b/>
          <w:bCs/>
          <w:color w:val="FF0000"/>
          <w:szCs w:val="22"/>
        </w:rPr>
      </w:pPr>
      <w:r w:rsidRPr="005917A1">
        <w:rPr>
          <w:rFonts w:ascii="Times New Roman" w:hAnsi="Times New Roman"/>
          <w:b/>
          <w:bCs/>
          <w:color w:val="FF0000"/>
          <w:szCs w:val="22"/>
        </w:rPr>
        <w:t>Home Care Association of Florida</w:t>
      </w:r>
    </w:p>
    <w:p w14:paraId="28437D12" w14:textId="0780B39B" w:rsidR="0058410D" w:rsidRPr="005917A1" w:rsidRDefault="0058410D" w:rsidP="00C32627">
      <w:pPr>
        <w:rPr>
          <w:rFonts w:ascii="Times New Roman" w:hAnsi="Times New Roman"/>
          <w:b/>
          <w:bCs/>
          <w:color w:val="FF0000"/>
          <w:szCs w:val="22"/>
        </w:rPr>
      </w:pPr>
      <w:r w:rsidRPr="005917A1">
        <w:rPr>
          <w:rFonts w:ascii="Times New Roman" w:hAnsi="Times New Roman"/>
          <w:b/>
          <w:bCs/>
          <w:color w:val="FF0000"/>
          <w:szCs w:val="22"/>
        </w:rPr>
        <w:t>Healthcare Association of Hawaii</w:t>
      </w:r>
    </w:p>
    <w:p w14:paraId="659A9D58" w14:textId="7BD68D5D" w:rsidR="009E73F7" w:rsidRPr="005917A1" w:rsidRDefault="009E73F7" w:rsidP="009E73F7">
      <w:pPr>
        <w:rPr>
          <w:rFonts w:ascii="Times New Roman" w:eastAsia="Calibri" w:hAnsi="Times New Roman"/>
          <w:b/>
          <w:bCs/>
          <w:color w:val="FF0000"/>
          <w:szCs w:val="22"/>
        </w:rPr>
      </w:pPr>
      <w:r w:rsidRPr="005917A1">
        <w:rPr>
          <w:rFonts w:ascii="Times New Roman" w:eastAsia="Calibri" w:hAnsi="Times New Roman"/>
          <w:b/>
          <w:bCs/>
          <w:color w:val="FF0000"/>
          <w:szCs w:val="22"/>
        </w:rPr>
        <w:t>Idaho Health Care Association</w:t>
      </w:r>
    </w:p>
    <w:p w14:paraId="48EEF90D" w14:textId="50926B70" w:rsidR="005B0BF6" w:rsidRPr="005917A1" w:rsidRDefault="005B0BF6" w:rsidP="009E73F7">
      <w:pPr>
        <w:rPr>
          <w:rFonts w:ascii="Times New Roman" w:eastAsia="Calibri" w:hAnsi="Times New Roman"/>
          <w:b/>
          <w:bCs/>
          <w:color w:val="FF0000"/>
          <w:szCs w:val="22"/>
        </w:rPr>
      </w:pPr>
      <w:r w:rsidRPr="005917A1">
        <w:rPr>
          <w:rFonts w:ascii="Times New Roman" w:eastAsia="Calibri" w:hAnsi="Times New Roman"/>
          <w:b/>
          <w:bCs/>
          <w:color w:val="FF0000"/>
          <w:szCs w:val="22"/>
        </w:rPr>
        <w:t>Illinois Homecare &amp; Hospice Council</w:t>
      </w:r>
    </w:p>
    <w:p w14:paraId="50B34D01" w14:textId="078DFF4F" w:rsidR="00CB5578" w:rsidRPr="005917A1" w:rsidRDefault="00CB5578" w:rsidP="009E73F7">
      <w:pPr>
        <w:rPr>
          <w:rFonts w:ascii="Times New Roman" w:eastAsia="Calibri" w:hAnsi="Times New Roman"/>
          <w:b/>
          <w:bCs/>
          <w:color w:val="FF0000"/>
          <w:szCs w:val="22"/>
        </w:rPr>
      </w:pPr>
      <w:r w:rsidRPr="005917A1">
        <w:rPr>
          <w:rFonts w:ascii="Times New Roman" w:eastAsia="Calibri" w:hAnsi="Times New Roman"/>
          <w:b/>
          <w:bCs/>
          <w:color w:val="FF0000"/>
          <w:szCs w:val="22"/>
        </w:rPr>
        <w:t>Indiana Association for Home and Hospice Care</w:t>
      </w:r>
    </w:p>
    <w:p w14:paraId="4DBD7C32" w14:textId="2B5CD920" w:rsidR="006747C4" w:rsidRPr="005917A1" w:rsidRDefault="006747C4" w:rsidP="009E73F7">
      <w:pPr>
        <w:rPr>
          <w:rFonts w:ascii="Times New Roman" w:eastAsia="Calibri" w:hAnsi="Times New Roman"/>
          <w:b/>
          <w:bCs/>
          <w:color w:val="FF0000"/>
          <w:szCs w:val="22"/>
        </w:rPr>
      </w:pPr>
      <w:r w:rsidRPr="005917A1">
        <w:rPr>
          <w:rFonts w:ascii="Times New Roman" w:eastAsia="Calibri" w:hAnsi="Times New Roman"/>
          <w:b/>
          <w:bCs/>
          <w:color w:val="FF0000"/>
          <w:szCs w:val="22"/>
        </w:rPr>
        <w:t>Iowa Center for Home Care</w:t>
      </w:r>
    </w:p>
    <w:p w14:paraId="016CD97B" w14:textId="77777777" w:rsidR="00AD6144" w:rsidRPr="005917A1" w:rsidRDefault="00AD6144" w:rsidP="00AD6144">
      <w:pPr>
        <w:rPr>
          <w:rFonts w:ascii="Times New Roman" w:eastAsia="Calibri" w:hAnsi="Times New Roman"/>
          <w:b/>
          <w:bCs/>
          <w:color w:val="FF0000"/>
          <w:szCs w:val="22"/>
        </w:rPr>
      </w:pPr>
      <w:r w:rsidRPr="005917A1">
        <w:rPr>
          <w:rFonts w:ascii="Times New Roman" w:eastAsia="Calibri" w:hAnsi="Times New Roman"/>
          <w:b/>
          <w:bCs/>
          <w:color w:val="FF0000"/>
          <w:szCs w:val="22"/>
        </w:rPr>
        <w:t>Kansas Home Care &amp; Hospice Association</w:t>
      </w:r>
    </w:p>
    <w:p w14:paraId="16213144" w14:textId="10A749D8" w:rsidR="00E65F8A" w:rsidRPr="005917A1" w:rsidRDefault="00E65F8A" w:rsidP="00AD6144">
      <w:pPr>
        <w:rPr>
          <w:rFonts w:ascii="Times New Roman" w:eastAsia="Calibri" w:hAnsi="Times New Roman"/>
          <w:b/>
          <w:bCs/>
          <w:color w:val="FF0000"/>
          <w:szCs w:val="22"/>
        </w:rPr>
      </w:pPr>
      <w:r w:rsidRPr="005917A1">
        <w:rPr>
          <w:rFonts w:ascii="Times New Roman" w:eastAsia="Calibri" w:hAnsi="Times New Roman"/>
          <w:b/>
          <w:bCs/>
          <w:color w:val="FF0000"/>
          <w:szCs w:val="22"/>
        </w:rPr>
        <w:t>Kentucky Home Care Association</w:t>
      </w:r>
    </w:p>
    <w:p w14:paraId="69C7D097" w14:textId="77777777" w:rsidR="002E70E0" w:rsidRPr="005917A1" w:rsidRDefault="004A1146" w:rsidP="00C32627">
      <w:pPr>
        <w:rPr>
          <w:rFonts w:ascii="Times New Roman" w:hAnsi="Times New Roman"/>
          <w:b/>
          <w:bCs/>
          <w:color w:val="FF0000"/>
          <w:szCs w:val="22"/>
        </w:rPr>
      </w:pPr>
      <w:r w:rsidRPr="005917A1">
        <w:rPr>
          <w:rFonts w:ascii="Times New Roman" w:hAnsi="Times New Roman"/>
          <w:b/>
          <w:bCs/>
          <w:color w:val="FF0000"/>
          <w:szCs w:val="22"/>
        </w:rPr>
        <w:t>Home Care Association of Louisianna</w:t>
      </w:r>
    </w:p>
    <w:p w14:paraId="2E36B3F3" w14:textId="54C7A527" w:rsidR="00A810C4" w:rsidRPr="005917A1" w:rsidRDefault="00A810C4" w:rsidP="00C32627">
      <w:pPr>
        <w:rPr>
          <w:rFonts w:ascii="Times New Roman" w:hAnsi="Times New Roman"/>
          <w:b/>
          <w:bCs/>
          <w:color w:val="FF0000"/>
          <w:szCs w:val="22"/>
        </w:rPr>
      </w:pPr>
      <w:r w:rsidRPr="005917A1">
        <w:rPr>
          <w:rFonts w:ascii="Times New Roman" w:hAnsi="Times New Roman"/>
          <w:b/>
          <w:bCs/>
          <w:color w:val="FF0000"/>
          <w:szCs w:val="22"/>
        </w:rPr>
        <w:t>Home Care &amp; Hospice Alliance of Maine</w:t>
      </w:r>
    </w:p>
    <w:p w14:paraId="76625699" w14:textId="7D6A7AF7" w:rsidR="001F01A6" w:rsidRPr="005917A1" w:rsidRDefault="001F01A6" w:rsidP="00C32627">
      <w:pPr>
        <w:rPr>
          <w:rFonts w:ascii="Times New Roman" w:hAnsi="Times New Roman"/>
          <w:b/>
          <w:bCs/>
          <w:color w:val="FF0000"/>
          <w:szCs w:val="22"/>
        </w:rPr>
      </w:pPr>
      <w:r w:rsidRPr="005917A1">
        <w:rPr>
          <w:rFonts w:ascii="Times New Roman" w:hAnsi="Times New Roman"/>
          <w:b/>
          <w:bCs/>
          <w:color w:val="FF0000"/>
          <w:szCs w:val="22"/>
        </w:rPr>
        <w:t>Maryland-National Capital Homecare Association.</w:t>
      </w:r>
    </w:p>
    <w:p w14:paraId="066886D0" w14:textId="45EA1EF3" w:rsidR="00902806" w:rsidRPr="005917A1" w:rsidRDefault="00902806" w:rsidP="00C32627">
      <w:pPr>
        <w:rPr>
          <w:rFonts w:ascii="Times New Roman" w:hAnsi="Times New Roman"/>
          <w:b/>
          <w:bCs/>
          <w:color w:val="FF0000"/>
          <w:szCs w:val="22"/>
        </w:rPr>
      </w:pPr>
      <w:r w:rsidRPr="005917A1">
        <w:rPr>
          <w:rFonts w:ascii="Times New Roman" w:hAnsi="Times New Roman"/>
          <w:b/>
          <w:bCs/>
          <w:color w:val="FF0000"/>
          <w:szCs w:val="22"/>
        </w:rPr>
        <w:t>Home Care Alliance of Massachusetts</w:t>
      </w:r>
    </w:p>
    <w:p w14:paraId="30118078" w14:textId="5B789F79" w:rsidR="00FE2615" w:rsidRPr="005917A1" w:rsidRDefault="00FE2615" w:rsidP="00C32627">
      <w:pPr>
        <w:rPr>
          <w:rFonts w:ascii="Times New Roman" w:hAnsi="Times New Roman"/>
          <w:b/>
          <w:bCs/>
          <w:color w:val="FF0000"/>
          <w:szCs w:val="22"/>
        </w:rPr>
      </w:pPr>
      <w:r w:rsidRPr="005917A1">
        <w:rPr>
          <w:rFonts w:ascii="Times New Roman" w:hAnsi="Times New Roman"/>
          <w:b/>
          <w:bCs/>
          <w:color w:val="FF0000"/>
          <w:szCs w:val="22"/>
        </w:rPr>
        <w:t xml:space="preserve">Michigan </w:t>
      </w:r>
      <w:proofErr w:type="spellStart"/>
      <w:r w:rsidRPr="005917A1">
        <w:rPr>
          <w:rFonts w:ascii="Times New Roman" w:hAnsi="Times New Roman"/>
          <w:b/>
          <w:bCs/>
          <w:color w:val="FF0000"/>
          <w:szCs w:val="22"/>
        </w:rPr>
        <w:t>HomeCare</w:t>
      </w:r>
      <w:proofErr w:type="spellEnd"/>
      <w:r w:rsidRPr="005917A1">
        <w:rPr>
          <w:rFonts w:ascii="Times New Roman" w:hAnsi="Times New Roman"/>
          <w:b/>
          <w:bCs/>
          <w:color w:val="FF0000"/>
          <w:szCs w:val="22"/>
        </w:rPr>
        <w:t xml:space="preserve"> and Hospice Association</w:t>
      </w:r>
    </w:p>
    <w:p w14:paraId="7A02587A" w14:textId="7A81F2CC" w:rsidR="00F050C2" w:rsidRPr="005917A1" w:rsidRDefault="00F050C2" w:rsidP="00C32627">
      <w:pPr>
        <w:rPr>
          <w:rFonts w:ascii="Times New Roman" w:hAnsi="Times New Roman"/>
          <w:b/>
          <w:bCs/>
          <w:color w:val="FF0000"/>
          <w:szCs w:val="22"/>
        </w:rPr>
      </w:pPr>
      <w:r w:rsidRPr="005917A1">
        <w:rPr>
          <w:rFonts w:ascii="Times New Roman" w:hAnsi="Times New Roman"/>
          <w:b/>
          <w:bCs/>
          <w:color w:val="FF0000"/>
          <w:szCs w:val="22"/>
        </w:rPr>
        <w:t>Minnesota Home Care Association</w:t>
      </w:r>
    </w:p>
    <w:p w14:paraId="0F50E063" w14:textId="0D8BDD25" w:rsidR="002A17B9" w:rsidRPr="005917A1" w:rsidRDefault="002A17B9" w:rsidP="00C32627">
      <w:pPr>
        <w:rPr>
          <w:rFonts w:ascii="Times New Roman" w:hAnsi="Times New Roman"/>
          <w:b/>
          <w:bCs/>
          <w:color w:val="FF0000"/>
          <w:szCs w:val="22"/>
        </w:rPr>
      </w:pPr>
      <w:r w:rsidRPr="005917A1">
        <w:rPr>
          <w:rFonts w:ascii="Times New Roman" w:hAnsi="Times New Roman"/>
          <w:b/>
          <w:bCs/>
          <w:color w:val="FF0000"/>
          <w:szCs w:val="22"/>
        </w:rPr>
        <w:t>Mississippi Association for Home Care</w:t>
      </w:r>
    </w:p>
    <w:p w14:paraId="13B128D2" w14:textId="6F298D75" w:rsidR="00154890" w:rsidRPr="005917A1" w:rsidRDefault="00154890" w:rsidP="00C32627">
      <w:pPr>
        <w:rPr>
          <w:rFonts w:ascii="Times New Roman" w:hAnsi="Times New Roman"/>
          <w:b/>
          <w:bCs/>
          <w:color w:val="FF0000"/>
          <w:szCs w:val="22"/>
        </w:rPr>
      </w:pPr>
      <w:r w:rsidRPr="005917A1">
        <w:rPr>
          <w:rFonts w:ascii="Times New Roman" w:hAnsi="Times New Roman"/>
          <w:b/>
          <w:bCs/>
          <w:color w:val="FF0000"/>
          <w:szCs w:val="22"/>
        </w:rPr>
        <w:t>Missouri Alliance for Home Care</w:t>
      </w:r>
    </w:p>
    <w:p w14:paraId="46081E6A" w14:textId="05F26B3F" w:rsidR="00CD792C" w:rsidRPr="005917A1" w:rsidRDefault="00CD792C" w:rsidP="00C32627">
      <w:pPr>
        <w:rPr>
          <w:rFonts w:ascii="Times New Roman" w:hAnsi="Times New Roman"/>
          <w:b/>
          <w:bCs/>
          <w:color w:val="FF0000"/>
          <w:szCs w:val="22"/>
        </w:rPr>
      </w:pPr>
      <w:r w:rsidRPr="005917A1">
        <w:rPr>
          <w:rFonts w:ascii="Times New Roman" w:hAnsi="Times New Roman"/>
          <w:b/>
          <w:bCs/>
          <w:color w:val="FF0000"/>
          <w:szCs w:val="22"/>
        </w:rPr>
        <w:t>Nebraska Association for Home Healthcare and Hospice</w:t>
      </w:r>
    </w:p>
    <w:p w14:paraId="3F5E1B0F" w14:textId="06E82895" w:rsidR="002B5695" w:rsidRPr="005917A1" w:rsidRDefault="002B5695" w:rsidP="00C32627">
      <w:pPr>
        <w:rPr>
          <w:rFonts w:ascii="Times New Roman" w:hAnsi="Times New Roman"/>
          <w:b/>
          <w:bCs/>
          <w:color w:val="FF0000"/>
          <w:szCs w:val="22"/>
        </w:rPr>
      </w:pPr>
      <w:r w:rsidRPr="005917A1">
        <w:rPr>
          <w:rFonts w:ascii="Times New Roman" w:hAnsi="Times New Roman"/>
          <w:b/>
          <w:bCs/>
          <w:color w:val="FF0000"/>
          <w:szCs w:val="22"/>
        </w:rPr>
        <w:t>Home Care &amp; Hospice Association of N</w:t>
      </w:r>
      <w:r w:rsidR="004F33DD" w:rsidRPr="005917A1">
        <w:rPr>
          <w:rFonts w:ascii="Times New Roman" w:hAnsi="Times New Roman"/>
          <w:b/>
          <w:bCs/>
          <w:color w:val="FF0000"/>
          <w:szCs w:val="22"/>
        </w:rPr>
        <w:t xml:space="preserve">ew </w:t>
      </w:r>
      <w:r w:rsidRPr="005917A1">
        <w:rPr>
          <w:rFonts w:ascii="Times New Roman" w:hAnsi="Times New Roman"/>
          <w:b/>
          <w:bCs/>
          <w:color w:val="FF0000"/>
          <w:szCs w:val="22"/>
        </w:rPr>
        <w:t>J</w:t>
      </w:r>
      <w:r w:rsidR="004F33DD" w:rsidRPr="005917A1">
        <w:rPr>
          <w:rFonts w:ascii="Times New Roman" w:hAnsi="Times New Roman"/>
          <w:b/>
          <w:bCs/>
          <w:color w:val="FF0000"/>
          <w:szCs w:val="22"/>
        </w:rPr>
        <w:t>ersey</w:t>
      </w:r>
    </w:p>
    <w:p w14:paraId="78AB1574" w14:textId="3A269328" w:rsidR="00397C3C" w:rsidRPr="005917A1" w:rsidRDefault="00397C3C" w:rsidP="00C32627">
      <w:pPr>
        <w:rPr>
          <w:rFonts w:ascii="Times New Roman" w:hAnsi="Times New Roman"/>
          <w:b/>
          <w:bCs/>
          <w:color w:val="FF0000"/>
          <w:szCs w:val="22"/>
        </w:rPr>
      </w:pPr>
      <w:r w:rsidRPr="005917A1">
        <w:rPr>
          <w:rFonts w:ascii="Times New Roman" w:hAnsi="Times New Roman"/>
          <w:b/>
          <w:bCs/>
          <w:color w:val="FF0000"/>
          <w:szCs w:val="22"/>
        </w:rPr>
        <w:t>New Mexico Association for Home &amp; Hospice Care</w:t>
      </w:r>
    </w:p>
    <w:p w14:paraId="4079942E" w14:textId="13698ABD" w:rsidR="006E52EE" w:rsidRPr="005917A1" w:rsidRDefault="006E52EE" w:rsidP="00C32627">
      <w:pPr>
        <w:rPr>
          <w:rFonts w:ascii="Times New Roman" w:hAnsi="Times New Roman"/>
          <w:b/>
          <w:bCs/>
          <w:color w:val="FF0000"/>
          <w:szCs w:val="22"/>
        </w:rPr>
      </w:pPr>
      <w:r w:rsidRPr="005917A1">
        <w:rPr>
          <w:rFonts w:ascii="Times New Roman" w:hAnsi="Times New Roman"/>
          <w:b/>
          <w:bCs/>
          <w:color w:val="FF0000"/>
          <w:szCs w:val="22"/>
        </w:rPr>
        <w:lastRenderedPageBreak/>
        <w:t xml:space="preserve">Home Care Association of New York State </w:t>
      </w:r>
    </w:p>
    <w:p w14:paraId="39FEDA83" w14:textId="77777777" w:rsidR="000F1A18" w:rsidRPr="005917A1" w:rsidRDefault="000F1A18" w:rsidP="000F1A18">
      <w:pPr>
        <w:rPr>
          <w:rFonts w:ascii="Times New Roman" w:eastAsia="Calibri" w:hAnsi="Times New Roman"/>
          <w:b/>
          <w:bCs/>
          <w:color w:val="FF0000"/>
          <w:szCs w:val="22"/>
        </w:rPr>
      </w:pPr>
      <w:r w:rsidRPr="005917A1">
        <w:rPr>
          <w:rFonts w:ascii="Times New Roman" w:eastAsia="Calibri" w:hAnsi="Times New Roman"/>
          <w:b/>
          <w:bCs/>
          <w:color w:val="FF0000"/>
          <w:szCs w:val="22"/>
        </w:rPr>
        <w:t>Association for Home &amp; Hospice Care of North Carolina</w:t>
      </w:r>
    </w:p>
    <w:p w14:paraId="2BAD9656" w14:textId="274FD6CC" w:rsidR="00621A3C" w:rsidRPr="005917A1" w:rsidRDefault="00621A3C" w:rsidP="00C32627">
      <w:pPr>
        <w:rPr>
          <w:rFonts w:ascii="Times New Roman" w:hAnsi="Times New Roman"/>
          <w:b/>
          <w:bCs/>
          <w:color w:val="FF0000"/>
          <w:szCs w:val="22"/>
        </w:rPr>
      </w:pPr>
      <w:r w:rsidRPr="005917A1">
        <w:rPr>
          <w:rFonts w:ascii="Times New Roman" w:hAnsi="Times New Roman"/>
          <w:b/>
          <w:bCs/>
          <w:color w:val="FF0000"/>
          <w:szCs w:val="22"/>
        </w:rPr>
        <w:t>Granite State Home Health &amp; Hospice Association (NH)</w:t>
      </w:r>
    </w:p>
    <w:p w14:paraId="5AB114AE" w14:textId="3C7EB853" w:rsidR="004E1A9C" w:rsidRPr="005917A1" w:rsidRDefault="004E1A9C" w:rsidP="00C32627">
      <w:pPr>
        <w:rPr>
          <w:rFonts w:ascii="Times New Roman" w:hAnsi="Times New Roman"/>
          <w:b/>
          <w:bCs/>
          <w:color w:val="FF0000"/>
          <w:szCs w:val="22"/>
        </w:rPr>
      </w:pPr>
      <w:r w:rsidRPr="005917A1">
        <w:rPr>
          <w:rFonts w:ascii="Times New Roman" w:hAnsi="Times New Roman"/>
          <w:b/>
          <w:bCs/>
          <w:color w:val="FF0000"/>
          <w:szCs w:val="22"/>
        </w:rPr>
        <w:t>Ohio Health Care Association</w:t>
      </w:r>
    </w:p>
    <w:p w14:paraId="325BF58B" w14:textId="49FC8D83" w:rsidR="0062006A" w:rsidRPr="005917A1" w:rsidRDefault="0062006A" w:rsidP="00C32627">
      <w:pPr>
        <w:rPr>
          <w:rFonts w:ascii="Times New Roman" w:hAnsi="Times New Roman"/>
          <w:b/>
          <w:bCs/>
          <w:color w:val="FF0000"/>
          <w:szCs w:val="22"/>
        </w:rPr>
      </w:pPr>
      <w:r w:rsidRPr="005917A1">
        <w:rPr>
          <w:rFonts w:ascii="Times New Roman" w:hAnsi="Times New Roman"/>
          <w:b/>
          <w:bCs/>
          <w:color w:val="FF0000"/>
          <w:szCs w:val="22"/>
        </w:rPr>
        <w:t>Oregon Association for Home Care</w:t>
      </w:r>
    </w:p>
    <w:p w14:paraId="7AD39165" w14:textId="1FBBDB18" w:rsidR="00F83223" w:rsidRPr="005917A1" w:rsidRDefault="00F83223" w:rsidP="00C32627">
      <w:pPr>
        <w:rPr>
          <w:rFonts w:ascii="Times New Roman" w:hAnsi="Times New Roman"/>
          <w:b/>
          <w:bCs/>
          <w:color w:val="FF0000"/>
          <w:szCs w:val="22"/>
        </w:rPr>
      </w:pPr>
      <w:r w:rsidRPr="005917A1">
        <w:rPr>
          <w:rFonts w:ascii="Times New Roman" w:hAnsi="Times New Roman"/>
          <w:b/>
          <w:bCs/>
          <w:color w:val="FF0000"/>
          <w:szCs w:val="22"/>
        </w:rPr>
        <w:t>Pennsylvania Homecare Association</w:t>
      </w:r>
    </w:p>
    <w:p w14:paraId="36F66724" w14:textId="6DD343DD" w:rsidR="003C5B49" w:rsidRPr="005917A1" w:rsidRDefault="003C5B49" w:rsidP="00C32627">
      <w:pPr>
        <w:rPr>
          <w:rFonts w:ascii="Times New Roman" w:hAnsi="Times New Roman"/>
          <w:b/>
          <w:bCs/>
          <w:color w:val="FF0000"/>
          <w:szCs w:val="22"/>
        </w:rPr>
      </w:pPr>
      <w:r w:rsidRPr="005917A1">
        <w:rPr>
          <w:rFonts w:ascii="Times New Roman" w:hAnsi="Times New Roman"/>
          <w:b/>
          <w:bCs/>
          <w:color w:val="FF0000"/>
          <w:szCs w:val="22"/>
        </w:rPr>
        <w:t>Rhode Island Partnership for Home Care</w:t>
      </w:r>
    </w:p>
    <w:p w14:paraId="7384E6B9" w14:textId="77777777" w:rsidR="005952AC" w:rsidRPr="005917A1" w:rsidRDefault="005952AC" w:rsidP="005952AC">
      <w:pPr>
        <w:rPr>
          <w:rFonts w:ascii="Times New Roman" w:eastAsia="Calibri" w:hAnsi="Times New Roman"/>
          <w:b/>
          <w:bCs/>
          <w:color w:val="FF0000"/>
          <w:szCs w:val="22"/>
        </w:rPr>
      </w:pPr>
      <w:r w:rsidRPr="005917A1">
        <w:rPr>
          <w:rFonts w:ascii="Times New Roman" w:eastAsia="Calibri" w:hAnsi="Times New Roman"/>
          <w:b/>
          <w:bCs/>
          <w:color w:val="FF0000"/>
          <w:szCs w:val="22"/>
        </w:rPr>
        <w:t>South Carolina Home Care &amp; Hospice Association</w:t>
      </w:r>
    </w:p>
    <w:p w14:paraId="7C3CD75B" w14:textId="6FC67225" w:rsidR="00516BF1" w:rsidRPr="005917A1" w:rsidRDefault="00516BF1" w:rsidP="00C32627">
      <w:pPr>
        <w:rPr>
          <w:rFonts w:ascii="Times New Roman" w:hAnsi="Times New Roman"/>
          <w:b/>
          <w:bCs/>
          <w:color w:val="FF0000"/>
          <w:szCs w:val="22"/>
        </w:rPr>
      </w:pPr>
      <w:r w:rsidRPr="005917A1">
        <w:rPr>
          <w:rFonts w:ascii="Times New Roman" w:hAnsi="Times New Roman"/>
          <w:b/>
          <w:bCs/>
          <w:color w:val="FF0000"/>
          <w:szCs w:val="22"/>
        </w:rPr>
        <w:t>Tenne</w:t>
      </w:r>
      <w:r w:rsidR="0045717D" w:rsidRPr="005917A1">
        <w:rPr>
          <w:rFonts w:ascii="Times New Roman" w:hAnsi="Times New Roman"/>
          <w:b/>
          <w:bCs/>
          <w:color w:val="FF0000"/>
          <w:szCs w:val="22"/>
        </w:rPr>
        <w:t>ssee Association for Home Care</w:t>
      </w:r>
    </w:p>
    <w:p w14:paraId="70B49DD4" w14:textId="4DD3DC33" w:rsidR="002E70E0" w:rsidRPr="005917A1" w:rsidRDefault="00492081" w:rsidP="00C32627">
      <w:pPr>
        <w:rPr>
          <w:rFonts w:ascii="Times New Roman" w:hAnsi="Times New Roman"/>
          <w:b/>
          <w:bCs/>
          <w:color w:val="FF0000"/>
          <w:szCs w:val="22"/>
        </w:rPr>
      </w:pPr>
      <w:r w:rsidRPr="005917A1">
        <w:rPr>
          <w:rFonts w:ascii="Times New Roman" w:hAnsi="Times New Roman"/>
          <w:b/>
          <w:bCs/>
          <w:color w:val="FF0000"/>
          <w:szCs w:val="22"/>
        </w:rPr>
        <w:t>Texas</w:t>
      </w:r>
      <w:r w:rsidR="002E70E0" w:rsidRPr="005917A1">
        <w:rPr>
          <w:rFonts w:ascii="Times New Roman" w:hAnsi="Times New Roman"/>
          <w:b/>
          <w:bCs/>
          <w:color w:val="FF0000"/>
          <w:szCs w:val="22"/>
        </w:rPr>
        <w:t xml:space="preserve"> Association for Home Care and Hospice</w:t>
      </w:r>
    </w:p>
    <w:p w14:paraId="24B2799C" w14:textId="77777777" w:rsidR="00A15539" w:rsidRPr="005917A1" w:rsidRDefault="00492081" w:rsidP="00C32627">
      <w:pPr>
        <w:rPr>
          <w:rFonts w:ascii="Times New Roman" w:hAnsi="Times New Roman"/>
          <w:b/>
          <w:bCs/>
          <w:color w:val="FF0000"/>
          <w:szCs w:val="22"/>
        </w:rPr>
      </w:pPr>
      <w:r w:rsidRPr="005917A1">
        <w:rPr>
          <w:rFonts w:ascii="Times New Roman" w:hAnsi="Times New Roman"/>
          <w:b/>
          <w:bCs/>
          <w:color w:val="FF0000"/>
          <w:szCs w:val="22"/>
        </w:rPr>
        <w:t>Homecare and Hospice Association of Utah</w:t>
      </w:r>
    </w:p>
    <w:p w14:paraId="6BB165C2" w14:textId="23798210" w:rsidR="004A1146" w:rsidRPr="005917A1" w:rsidRDefault="00A15539" w:rsidP="00C32627">
      <w:pPr>
        <w:rPr>
          <w:rFonts w:ascii="Times New Roman" w:hAnsi="Times New Roman"/>
          <w:b/>
          <w:bCs/>
          <w:color w:val="FF0000"/>
          <w:szCs w:val="22"/>
        </w:rPr>
      </w:pPr>
      <w:r w:rsidRPr="005917A1">
        <w:rPr>
          <w:rFonts w:ascii="Times New Roman" w:hAnsi="Times New Roman"/>
          <w:b/>
          <w:bCs/>
          <w:color w:val="FF0000"/>
          <w:szCs w:val="22"/>
        </w:rPr>
        <w:t>VNAs of Vermont</w:t>
      </w:r>
      <w:r w:rsidR="004A1146" w:rsidRPr="005917A1">
        <w:rPr>
          <w:rFonts w:ascii="Times New Roman" w:hAnsi="Times New Roman"/>
          <w:b/>
          <w:bCs/>
          <w:color w:val="FF0000"/>
          <w:szCs w:val="22"/>
        </w:rPr>
        <w:t xml:space="preserve"> </w:t>
      </w:r>
    </w:p>
    <w:p w14:paraId="29E5381F" w14:textId="7E328004" w:rsidR="00492081" w:rsidRPr="005917A1" w:rsidRDefault="00615E99" w:rsidP="00C32627">
      <w:pPr>
        <w:rPr>
          <w:rFonts w:ascii="Times New Roman" w:hAnsi="Times New Roman"/>
          <w:b/>
          <w:bCs/>
          <w:color w:val="FF0000"/>
          <w:szCs w:val="22"/>
        </w:rPr>
      </w:pPr>
      <w:r w:rsidRPr="005917A1">
        <w:rPr>
          <w:rFonts w:ascii="Times New Roman" w:hAnsi="Times New Roman"/>
          <w:b/>
          <w:bCs/>
          <w:color w:val="FF0000"/>
          <w:szCs w:val="22"/>
        </w:rPr>
        <w:t>Virginia Association for Home Care and Hospice</w:t>
      </w:r>
    </w:p>
    <w:p w14:paraId="65E895AE" w14:textId="7434C28E" w:rsidR="00E20FDD" w:rsidRPr="005917A1" w:rsidRDefault="00E20FDD" w:rsidP="00C32627">
      <w:pPr>
        <w:rPr>
          <w:rFonts w:ascii="Times New Roman" w:hAnsi="Times New Roman"/>
          <w:b/>
          <w:bCs/>
          <w:color w:val="FF0000"/>
          <w:szCs w:val="22"/>
        </w:rPr>
      </w:pPr>
      <w:r w:rsidRPr="005917A1">
        <w:rPr>
          <w:rFonts w:ascii="Times New Roman" w:hAnsi="Times New Roman"/>
          <w:b/>
          <w:bCs/>
          <w:color w:val="FF0000"/>
          <w:szCs w:val="22"/>
        </w:rPr>
        <w:t>Wisconsin Association for Home Health Care</w:t>
      </w:r>
    </w:p>
    <w:p w14:paraId="6372467B" w14:textId="77777777" w:rsidR="004E457B" w:rsidRDefault="004E457B" w:rsidP="00C32627">
      <w:pPr>
        <w:rPr>
          <w:rFonts w:ascii="Times New Roman" w:hAnsi="Times New Roman"/>
          <w:b/>
          <w:bCs/>
          <w:szCs w:val="22"/>
        </w:rPr>
      </w:pPr>
    </w:p>
    <w:p w14:paraId="1F858817" w14:textId="77777777" w:rsidR="004E457B" w:rsidRPr="003E60B2" w:rsidRDefault="004E457B" w:rsidP="004E457B">
      <w:pPr>
        <w:pBdr>
          <w:bottom w:val="single" w:sz="12" w:space="1" w:color="auto"/>
        </w:pBdr>
        <w:spacing w:after="160" w:line="259" w:lineRule="auto"/>
        <w:rPr>
          <w:rFonts w:ascii="Times New Roman" w:eastAsiaTheme="minorHAnsi" w:hAnsi="Times New Roman"/>
          <w:kern w:val="2"/>
          <w:szCs w:val="22"/>
          <w14:ligatures w14:val="standardContextual"/>
        </w:rPr>
      </w:pPr>
    </w:p>
    <w:p w14:paraId="60C29852" w14:textId="77777777" w:rsidR="004E457B" w:rsidRPr="003E60B2" w:rsidRDefault="004E457B" w:rsidP="004E457B">
      <w:pPr>
        <w:spacing w:after="160" w:line="259" w:lineRule="auto"/>
        <w:rPr>
          <w:rFonts w:ascii="Times New Roman" w:eastAsiaTheme="minorHAnsi" w:hAnsi="Times New Roman"/>
          <w:kern w:val="2"/>
          <w:szCs w:val="22"/>
          <w14:ligatures w14:val="standardContextual"/>
        </w:rPr>
      </w:pPr>
      <w:r w:rsidRPr="003E60B2">
        <w:rPr>
          <w:rFonts w:ascii="Times New Roman" w:eastAsiaTheme="minorHAnsi" w:hAnsi="Times New Roman"/>
          <w:kern w:val="2"/>
          <w:szCs w:val="22"/>
          <w:vertAlign w:val="superscript"/>
          <w14:ligatures w14:val="standardContextual"/>
        </w:rPr>
        <w:t>1.</w:t>
      </w:r>
      <w:r w:rsidRPr="003E60B2">
        <w:rPr>
          <w:rFonts w:ascii="Times New Roman" w:eastAsiaTheme="minorHAnsi" w:hAnsi="Times New Roman"/>
          <w:kern w:val="2"/>
          <w:szCs w:val="22"/>
          <w14:ligatures w14:val="standardContextual"/>
        </w:rPr>
        <w:t xml:space="preserve"> Home Care Chartbook 2022, Research Institute for Home Care, Washington DC </w:t>
      </w:r>
    </w:p>
    <w:p w14:paraId="245A63F2" w14:textId="77777777" w:rsidR="004E457B" w:rsidRPr="003E60B2" w:rsidRDefault="004E457B" w:rsidP="004E457B">
      <w:pPr>
        <w:spacing w:after="160" w:line="259" w:lineRule="auto"/>
        <w:rPr>
          <w:rFonts w:ascii="Times New Roman" w:eastAsiaTheme="minorHAnsi" w:hAnsi="Times New Roman"/>
          <w:kern w:val="2"/>
          <w:szCs w:val="22"/>
          <w14:ligatures w14:val="standardContextual"/>
        </w:rPr>
      </w:pPr>
    </w:p>
    <w:p w14:paraId="3A7201FD" w14:textId="77777777" w:rsidR="004E457B" w:rsidRPr="00EC2539" w:rsidRDefault="004E457B" w:rsidP="00C32627">
      <w:pPr>
        <w:rPr>
          <w:rFonts w:ascii="Times New Roman" w:hAnsi="Times New Roman"/>
          <w:b/>
          <w:bCs/>
          <w:szCs w:val="22"/>
        </w:rPr>
      </w:pPr>
    </w:p>
    <w:sectPr w:rsidR="004E457B" w:rsidRPr="00EC2539">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2D662" w14:textId="77777777" w:rsidR="00A54DC6" w:rsidRDefault="00A54DC6" w:rsidP="00F95373">
      <w:r>
        <w:separator/>
      </w:r>
    </w:p>
  </w:endnote>
  <w:endnote w:type="continuationSeparator" w:id="0">
    <w:p w14:paraId="120C3074" w14:textId="77777777" w:rsidR="00A54DC6" w:rsidRDefault="00A54DC6" w:rsidP="00F9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3424760"/>
      <w:docPartObj>
        <w:docPartGallery w:val="Page Numbers (Bottom of Page)"/>
        <w:docPartUnique/>
      </w:docPartObj>
    </w:sdtPr>
    <w:sdtEndPr>
      <w:rPr>
        <w:noProof/>
      </w:rPr>
    </w:sdtEndPr>
    <w:sdtContent>
      <w:p w14:paraId="009D101C" w14:textId="481A665B" w:rsidR="00D3610F" w:rsidRDefault="00D361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C5A2F" w14:textId="77777777" w:rsidR="00D3610F" w:rsidRDefault="00D36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CA284" w14:textId="77777777" w:rsidR="00A54DC6" w:rsidRDefault="00A54DC6" w:rsidP="00F95373">
      <w:r>
        <w:separator/>
      </w:r>
    </w:p>
  </w:footnote>
  <w:footnote w:type="continuationSeparator" w:id="0">
    <w:p w14:paraId="377732F1" w14:textId="77777777" w:rsidR="00A54DC6" w:rsidRDefault="00A54DC6" w:rsidP="00F95373">
      <w:r>
        <w:continuationSeparator/>
      </w:r>
    </w:p>
  </w:footnote>
  <w:footnote w:id="1">
    <w:p w14:paraId="7884BD15" w14:textId="77777777" w:rsidR="00D216DF" w:rsidRDefault="00D216DF" w:rsidP="00D216DF">
      <w:pPr>
        <w:rPr>
          <w:rFonts w:asciiTheme="minorHAnsi" w:hAnsiTheme="minorHAnsi" w:cstheme="minorBidi"/>
        </w:rPr>
      </w:pPr>
      <w:r>
        <w:rPr>
          <w:rStyle w:val="FootnoteReference"/>
        </w:rPr>
        <w:footnoteRef/>
      </w:r>
      <w:r>
        <w:t xml:space="preserve"> </w:t>
      </w:r>
      <w:r>
        <w:rPr>
          <w:rFonts w:ascii="Times New Roman" w:hAnsi="Times New Roman"/>
          <w:sz w:val="16"/>
          <w:szCs w:val="16"/>
        </w:rPr>
        <w:t xml:space="preserve">Outcome and Assessment Information Set OASIS-E1 Manual, Centers for Medicare &amp; Medicaid Services, effective 01/01/2025, </w:t>
      </w:r>
      <w:hyperlink r:id="rId1" w:history="1">
        <w:r>
          <w:rPr>
            <w:rStyle w:val="Hyperlink"/>
            <w:rFonts w:ascii="Times New Roman" w:hAnsi="Times New Roman"/>
            <w:sz w:val="16"/>
            <w:szCs w:val="16"/>
          </w:rPr>
          <w:t>https://www.cms.gov/files/document/draft-oasis-e1-manual-04-28-2024.pdf</w:t>
        </w:r>
      </w:hyperlink>
    </w:p>
    <w:p w14:paraId="1756B85B" w14:textId="77777777" w:rsidR="00D216DF" w:rsidRDefault="00D216DF" w:rsidP="00D216DF">
      <w:pPr>
        <w:pStyle w:val="FootnoteText"/>
      </w:pPr>
    </w:p>
  </w:footnote>
  <w:footnote w:id="2">
    <w:p w14:paraId="74EB39EC" w14:textId="77777777" w:rsidR="00D216DF" w:rsidRDefault="00D216DF" w:rsidP="00D216DF">
      <w:pPr>
        <w:rPr>
          <w:rFonts w:ascii="Times New Roman" w:hAnsi="Times New Roman"/>
          <w:sz w:val="16"/>
          <w:szCs w:val="16"/>
        </w:rPr>
      </w:pPr>
      <w:r>
        <w:rPr>
          <w:rStyle w:val="FootnoteReference"/>
        </w:rPr>
        <w:footnoteRef/>
      </w:r>
      <w:r>
        <w:t xml:space="preserve"> </w:t>
      </w:r>
      <w:r>
        <w:rPr>
          <w:rFonts w:ascii="Times New Roman" w:hAnsi="Times New Roman"/>
          <w:sz w:val="16"/>
          <w:szCs w:val="16"/>
        </w:rPr>
        <w:t>Standing Technical Expert Panel for the Development, Evaluation, and Maintenance of Post-Acute Care (PAC) and Hospice Quality Reporting Program (QRP) Measurement Sets Summary Report. https://www.cms.gov/files/document/december-2023-pac-and-hospice-cross-setting-tep-summary-report.pdf-3</w:t>
      </w:r>
    </w:p>
    <w:p w14:paraId="7F19FBC8" w14:textId="77777777" w:rsidR="00D216DF" w:rsidRDefault="00D216DF" w:rsidP="00D216D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01EB1"/>
    <w:multiLevelType w:val="hybridMultilevel"/>
    <w:tmpl w:val="5EA8B3EE"/>
    <w:lvl w:ilvl="0" w:tplc="0409000F">
      <w:start w:val="1"/>
      <w:numFmt w:val="decimal"/>
      <w:lvlText w:val="%1."/>
      <w:lvlJc w:val="left"/>
      <w:pPr>
        <w:ind w:left="1440" w:hanging="360"/>
      </w:pPr>
    </w:lvl>
    <w:lvl w:ilvl="1" w:tplc="67A6CC84">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84D2579"/>
    <w:multiLevelType w:val="hybridMultilevel"/>
    <w:tmpl w:val="B0620C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A0C2B71"/>
    <w:multiLevelType w:val="hybridMultilevel"/>
    <w:tmpl w:val="6576BFFA"/>
    <w:lvl w:ilvl="0" w:tplc="662C36DC">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E240E1"/>
    <w:multiLevelType w:val="hybridMultilevel"/>
    <w:tmpl w:val="6994D94E"/>
    <w:lvl w:ilvl="0" w:tplc="AB067D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B4540F"/>
    <w:multiLevelType w:val="hybridMultilevel"/>
    <w:tmpl w:val="8EB88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33B17"/>
    <w:multiLevelType w:val="hybridMultilevel"/>
    <w:tmpl w:val="394222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F1539F"/>
    <w:multiLevelType w:val="hybridMultilevel"/>
    <w:tmpl w:val="79009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AA3593"/>
    <w:multiLevelType w:val="hybridMultilevel"/>
    <w:tmpl w:val="E74AB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FB1184"/>
    <w:multiLevelType w:val="hybridMultilevel"/>
    <w:tmpl w:val="4DCE62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03666ED"/>
    <w:multiLevelType w:val="hybridMultilevel"/>
    <w:tmpl w:val="2FAEA468"/>
    <w:lvl w:ilvl="0" w:tplc="04090001">
      <w:start w:val="1"/>
      <w:numFmt w:val="bullet"/>
      <w:lvlText w:val=""/>
      <w:lvlJc w:val="left"/>
      <w:pPr>
        <w:ind w:left="720" w:hanging="360"/>
      </w:pPr>
      <w:rPr>
        <w:rFonts w:ascii="Symbol" w:hAnsi="Symbol" w:hint="default"/>
      </w:rPr>
    </w:lvl>
    <w:lvl w:ilvl="1" w:tplc="C24C59D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01ABF"/>
    <w:multiLevelType w:val="hybridMultilevel"/>
    <w:tmpl w:val="7D5A6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81FD6"/>
    <w:multiLevelType w:val="hybridMultilevel"/>
    <w:tmpl w:val="05F4C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AB7D40"/>
    <w:multiLevelType w:val="hybridMultilevel"/>
    <w:tmpl w:val="F91EA712"/>
    <w:lvl w:ilvl="0" w:tplc="04090015">
      <w:start w:val="8"/>
      <w:numFmt w:val="upperLetter"/>
      <w:lvlText w:val="%1."/>
      <w:lvlJc w:val="left"/>
      <w:pPr>
        <w:ind w:left="720" w:hanging="360"/>
      </w:pPr>
      <w:rPr>
        <w:rFonts w:hint="default"/>
      </w:rPr>
    </w:lvl>
    <w:lvl w:ilvl="1" w:tplc="D99A71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24595"/>
    <w:multiLevelType w:val="hybridMultilevel"/>
    <w:tmpl w:val="4AC60C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82199"/>
    <w:multiLevelType w:val="hybridMultilevel"/>
    <w:tmpl w:val="56B4C9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B81D00"/>
    <w:multiLevelType w:val="hybridMultilevel"/>
    <w:tmpl w:val="F25A0CB6"/>
    <w:lvl w:ilvl="0" w:tplc="FAC2B06A">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AC78FF"/>
    <w:multiLevelType w:val="hybridMultilevel"/>
    <w:tmpl w:val="1292E992"/>
    <w:lvl w:ilvl="0" w:tplc="4C9A2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B25536"/>
    <w:multiLevelType w:val="hybridMultilevel"/>
    <w:tmpl w:val="885832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CA6B55"/>
    <w:multiLevelType w:val="hybridMultilevel"/>
    <w:tmpl w:val="2B58155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4D50F80"/>
    <w:multiLevelType w:val="hybridMultilevel"/>
    <w:tmpl w:val="4FBE8B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5831852"/>
    <w:multiLevelType w:val="hybridMultilevel"/>
    <w:tmpl w:val="4EAE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336EC"/>
    <w:multiLevelType w:val="hybridMultilevel"/>
    <w:tmpl w:val="1C7C361A"/>
    <w:lvl w:ilvl="0" w:tplc="DF601DBE">
      <w:start w:val="5"/>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2924CD"/>
    <w:multiLevelType w:val="hybridMultilevel"/>
    <w:tmpl w:val="FDBA6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B22AA3"/>
    <w:multiLevelType w:val="hybridMultilevel"/>
    <w:tmpl w:val="FDD44246"/>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3E23CB"/>
    <w:multiLevelType w:val="hybridMultilevel"/>
    <w:tmpl w:val="B284FE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C95613"/>
    <w:multiLevelType w:val="hybridMultilevel"/>
    <w:tmpl w:val="574A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D0CB7"/>
    <w:multiLevelType w:val="hybridMultilevel"/>
    <w:tmpl w:val="D22EA55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15:restartNumberingAfterBreak="0">
    <w:nsid w:val="52166A6B"/>
    <w:multiLevelType w:val="hybridMultilevel"/>
    <w:tmpl w:val="9CCA87C6"/>
    <w:lvl w:ilvl="0" w:tplc="7474E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EE6287"/>
    <w:multiLevelType w:val="hybridMultilevel"/>
    <w:tmpl w:val="ADB2258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29" w15:restartNumberingAfterBreak="0">
    <w:nsid w:val="5D195B35"/>
    <w:multiLevelType w:val="hybridMultilevel"/>
    <w:tmpl w:val="8C786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340CEC"/>
    <w:multiLevelType w:val="hybridMultilevel"/>
    <w:tmpl w:val="2D9AD066"/>
    <w:lvl w:ilvl="0" w:tplc="59BCD71E">
      <w:start w:val="1"/>
      <w:numFmt w:val="decimal"/>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FB746A2"/>
    <w:multiLevelType w:val="hybridMultilevel"/>
    <w:tmpl w:val="0752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B54C7"/>
    <w:multiLevelType w:val="hybridMultilevel"/>
    <w:tmpl w:val="9E5E01AA"/>
    <w:lvl w:ilvl="0" w:tplc="5E02FE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8A71F28"/>
    <w:multiLevelType w:val="hybridMultilevel"/>
    <w:tmpl w:val="02EEB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C257DF"/>
    <w:multiLevelType w:val="hybridMultilevel"/>
    <w:tmpl w:val="81B80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BBC4C08"/>
    <w:multiLevelType w:val="hybridMultilevel"/>
    <w:tmpl w:val="EEF830EE"/>
    <w:lvl w:ilvl="0" w:tplc="0409000F">
      <w:start w:val="1"/>
      <w:numFmt w:val="decimal"/>
      <w:lvlText w:val="%1."/>
      <w:lvlJc w:val="left"/>
      <w:pPr>
        <w:ind w:left="9000" w:hanging="360"/>
      </w:pPr>
      <w:rPr>
        <w:rFonts w:hint="default"/>
      </w:r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36" w15:restartNumberingAfterBreak="0">
    <w:nsid w:val="6D163235"/>
    <w:multiLevelType w:val="hybridMultilevel"/>
    <w:tmpl w:val="D7661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EF8769D"/>
    <w:multiLevelType w:val="hybridMultilevel"/>
    <w:tmpl w:val="69C2A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5B03A7"/>
    <w:multiLevelType w:val="hybridMultilevel"/>
    <w:tmpl w:val="10EA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557FD8"/>
    <w:multiLevelType w:val="hybridMultilevel"/>
    <w:tmpl w:val="9C8AF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2AB4A45"/>
    <w:multiLevelType w:val="hybridMultilevel"/>
    <w:tmpl w:val="2F1CB2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300E58"/>
    <w:multiLevelType w:val="hybridMultilevel"/>
    <w:tmpl w:val="CDC0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A14B7"/>
    <w:multiLevelType w:val="hybridMultilevel"/>
    <w:tmpl w:val="7C34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2901809">
    <w:abstractNumId w:val="4"/>
  </w:num>
  <w:num w:numId="2" w16cid:durableId="1864437685">
    <w:abstractNumId w:val="20"/>
  </w:num>
  <w:num w:numId="3" w16cid:durableId="140193025">
    <w:abstractNumId w:val="25"/>
  </w:num>
  <w:num w:numId="4" w16cid:durableId="1479806087">
    <w:abstractNumId w:val="10"/>
  </w:num>
  <w:num w:numId="5" w16cid:durableId="2084060773">
    <w:abstractNumId w:val="42"/>
  </w:num>
  <w:num w:numId="6" w16cid:durableId="1843162891">
    <w:abstractNumId w:val="9"/>
  </w:num>
  <w:num w:numId="7" w16cid:durableId="1246109509">
    <w:abstractNumId w:val="41"/>
  </w:num>
  <w:num w:numId="8" w16cid:durableId="1335768283">
    <w:abstractNumId w:val="31"/>
  </w:num>
  <w:num w:numId="9" w16cid:durableId="1997689259">
    <w:abstractNumId w:val="3"/>
  </w:num>
  <w:num w:numId="10" w16cid:durableId="1349716123">
    <w:abstractNumId w:val="8"/>
  </w:num>
  <w:num w:numId="11" w16cid:durableId="1579904840">
    <w:abstractNumId w:val="1"/>
  </w:num>
  <w:num w:numId="12" w16cid:durableId="1909072221">
    <w:abstractNumId w:val="26"/>
  </w:num>
  <w:num w:numId="13" w16cid:durableId="565529117">
    <w:abstractNumId w:val="38"/>
  </w:num>
  <w:num w:numId="14" w16cid:durableId="883567275">
    <w:abstractNumId w:val="13"/>
  </w:num>
  <w:num w:numId="15" w16cid:durableId="2017076930">
    <w:abstractNumId w:val="40"/>
  </w:num>
  <w:num w:numId="16" w16cid:durableId="1900163606">
    <w:abstractNumId w:val="16"/>
  </w:num>
  <w:num w:numId="17" w16cid:durableId="225800747">
    <w:abstractNumId w:val="21"/>
  </w:num>
  <w:num w:numId="18" w16cid:durableId="901670567">
    <w:abstractNumId w:val="2"/>
  </w:num>
  <w:num w:numId="19" w16cid:durableId="825826880">
    <w:abstractNumId w:val="15"/>
  </w:num>
  <w:num w:numId="20" w16cid:durableId="1016233712">
    <w:abstractNumId w:val="5"/>
  </w:num>
  <w:num w:numId="21" w16cid:durableId="457071592">
    <w:abstractNumId w:val="14"/>
  </w:num>
  <w:num w:numId="22" w16cid:durableId="417681424">
    <w:abstractNumId w:val="27"/>
  </w:num>
  <w:num w:numId="23" w16cid:durableId="663709008">
    <w:abstractNumId w:val="23"/>
  </w:num>
  <w:num w:numId="24" w16cid:durableId="1433285928">
    <w:abstractNumId w:val="35"/>
  </w:num>
  <w:num w:numId="25" w16cid:durableId="161897028">
    <w:abstractNumId w:val="32"/>
  </w:num>
  <w:num w:numId="26" w16cid:durableId="1798329213">
    <w:abstractNumId w:val="30"/>
  </w:num>
  <w:num w:numId="27" w16cid:durableId="2135907994">
    <w:abstractNumId w:val="12"/>
  </w:num>
  <w:num w:numId="28" w16cid:durableId="644623410">
    <w:abstractNumId w:val="24"/>
  </w:num>
  <w:num w:numId="29" w16cid:durableId="1556620544">
    <w:abstractNumId w:val="17"/>
  </w:num>
  <w:num w:numId="30" w16cid:durableId="1527399866">
    <w:abstractNumId w:val="22"/>
  </w:num>
  <w:num w:numId="31" w16cid:durableId="272176573">
    <w:abstractNumId w:val="7"/>
  </w:num>
  <w:num w:numId="32" w16cid:durableId="755591868">
    <w:abstractNumId w:val="37"/>
  </w:num>
  <w:num w:numId="33" w16cid:durableId="57826596">
    <w:abstractNumId w:val="34"/>
  </w:num>
  <w:num w:numId="34" w16cid:durableId="153961022">
    <w:abstractNumId w:val="6"/>
  </w:num>
  <w:num w:numId="35" w16cid:durableId="729576369">
    <w:abstractNumId w:val="11"/>
  </w:num>
  <w:num w:numId="36" w16cid:durableId="1943948900">
    <w:abstractNumId w:val="18"/>
  </w:num>
  <w:num w:numId="37" w16cid:durableId="1880626742">
    <w:abstractNumId w:val="29"/>
  </w:num>
  <w:num w:numId="38" w16cid:durableId="1581018675">
    <w:abstractNumId w:val="39"/>
  </w:num>
  <w:num w:numId="39" w16cid:durableId="2111656764">
    <w:abstractNumId w:val="33"/>
  </w:num>
  <w:num w:numId="40" w16cid:durableId="7052509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92547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9336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45826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A80"/>
    <w:rsid w:val="00000626"/>
    <w:rsid w:val="0000065F"/>
    <w:rsid w:val="0001156E"/>
    <w:rsid w:val="00011F37"/>
    <w:rsid w:val="0001246B"/>
    <w:rsid w:val="0001294B"/>
    <w:rsid w:val="00015F59"/>
    <w:rsid w:val="000163D8"/>
    <w:rsid w:val="00020CC5"/>
    <w:rsid w:val="00022230"/>
    <w:rsid w:val="000225F5"/>
    <w:rsid w:val="0002347B"/>
    <w:rsid w:val="0002454D"/>
    <w:rsid w:val="0003003F"/>
    <w:rsid w:val="000301E9"/>
    <w:rsid w:val="00030228"/>
    <w:rsid w:val="00033D0E"/>
    <w:rsid w:val="00034197"/>
    <w:rsid w:val="00035CC4"/>
    <w:rsid w:val="000364C3"/>
    <w:rsid w:val="00041275"/>
    <w:rsid w:val="000417BA"/>
    <w:rsid w:val="00043BE7"/>
    <w:rsid w:val="00051251"/>
    <w:rsid w:val="00051D84"/>
    <w:rsid w:val="0005720D"/>
    <w:rsid w:val="00057EB0"/>
    <w:rsid w:val="00060729"/>
    <w:rsid w:val="00061C8B"/>
    <w:rsid w:val="00064D97"/>
    <w:rsid w:val="00065272"/>
    <w:rsid w:val="0006536D"/>
    <w:rsid w:val="00066D3F"/>
    <w:rsid w:val="00067348"/>
    <w:rsid w:val="00070177"/>
    <w:rsid w:val="00073085"/>
    <w:rsid w:val="00075D75"/>
    <w:rsid w:val="00076A92"/>
    <w:rsid w:val="000770CE"/>
    <w:rsid w:val="00082409"/>
    <w:rsid w:val="00084590"/>
    <w:rsid w:val="000871DE"/>
    <w:rsid w:val="000877D7"/>
    <w:rsid w:val="00091C62"/>
    <w:rsid w:val="000937A6"/>
    <w:rsid w:val="00097A8C"/>
    <w:rsid w:val="000A0BCF"/>
    <w:rsid w:val="000A21A4"/>
    <w:rsid w:val="000B2E02"/>
    <w:rsid w:val="000B3B06"/>
    <w:rsid w:val="000C0C76"/>
    <w:rsid w:val="000C3242"/>
    <w:rsid w:val="000C3355"/>
    <w:rsid w:val="000C45DF"/>
    <w:rsid w:val="000D54CA"/>
    <w:rsid w:val="000D5A59"/>
    <w:rsid w:val="000D5C5D"/>
    <w:rsid w:val="000D60E1"/>
    <w:rsid w:val="000D6A81"/>
    <w:rsid w:val="000E04F6"/>
    <w:rsid w:val="000E1432"/>
    <w:rsid w:val="000E1C5D"/>
    <w:rsid w:val="000E2794"/>
    <w:rsid w:val="000E3F56"/>
    <w:rsid w:val="000E67BA"/>
    <w:rsid w:val="000F1A18"/>
    <w:rsid w:val="000F1CF5"/>
    <w:rsid w:val="000F2F94"/>
    <w:rsid w:val="000F34CB"/>
    <w:rsid w:val="000F554D"/>
    <w:rsid w:val="000F5DB6"/>
    <w:rsid w:val="00113C54"/>
    <w:rsid w:val="00114929"/>
    <w:rsid w:val="001238E6"/>
    <w:rsid w:val="001275D7"/>
    <w:rsid w:val="00132C8F"/>
    <w:rsid w:val="00132EEB"/>
    <w:rsid w:val="00134690"/>
    <w:rsid w:val="00135448"/>
    <w:rsid w:val="00135900"/>
    <w:rsid w:val="00136C7D"/>
    <w:rsid w:val="001422F5"/>
    <w:rsid w:val="00144D4A"/>
    <w:rsid w:val="001455DE"/>
    <w:rsid w:val="00147227"/>
    <w:rsid w:val="00150236"/>
    <w:rsid w:val="00151E35"/>
    <w:rsid w:val="00154890"/>
    <w:rsid w:val="00156C7E"/>
    <w:rsid w:val="001577A3"/>
    <w:rsid w:val="00160589"/>
    <w:rsid w:val="001666C9"/>
    <w:rsid w:val="00173DA5"/>
    <w:rsid w:val="00175B6B"/>
    <w:rsid w:val="00183CE4"/>
    <w:rsid w:val="00183FC3"/>
    <w:rsid w:val="00186A77"/>
    <w:rsid w:val="001927E9"/>
    <w:rsid w:val="00192CF2"/>
    <w:rsid w:val="00192E20"/>
    <w:rsid w:val="001935EE"/>
    <w:rsid w:val="00195E40"/>
    <w:rsid w:val="001967B1"/>
    <w:rsid w:val="0019783E"/>
    <w:rsid w:val="00197EA8"/>
    <w:rsid w:val="001A4614"/>
    <w:rsid w:val="001B08E2"/>
    <w:rsid w:val="001B742D"/>
    <w:rsid w:val="001C2D41"/>
    <w:rsid w:val="001C5962"/>
    <w:rsid w:val="001C704E"/>
    <w:rsid w:val="001C7855"/>
    <w:rsid w:val="001D0C9B"/>
    <w:rsid w:val="001D30E6"/>
    <w:rsid w:val="001D45C8"/>
    <w:rsid w:val="001D4AAA"/>
    <w:rsid w:val="001E3625"/>
    <w:rsid w:val="001E4988"/>
    <w:rsid w:val="001E4B85"/>
    <w:rsid w:val="001E5AA4"/>
    <w:rsid w:val="001F01A6"/>
    <w:rsid w:val="001F355E"/>
    <w:rsid w:val="00202778"/>
    <w:rsid w:val="002035C7"/>
    <w:rsid w:val="0020591E"/>
    <w:rsid w:val="00214ED3"/>
    <w:rsid w:val="00225095"/>
    <w:rsid w:val="00226CC0"/>
    <w:rsid w:val="00230A80"/>
    <w:rsid w:val="00232942"/>
    <w:rsid w:val="00245DEC"/>
    <w:rsid w:val="00251B26"/>
    <w:rsid w:val="00251C41"/>
    <w:rsid w:val="0025223B"/>
    <w:rsid w:val="00252500"/>
    <w:rsid w:val="00264713"/>
    <w:rsid w:val="002673F7"/>
    <w:rsid w:val="0027010A"/>
    <w:rsid w:val="0027509D"/>
    <w:rsid w:val="0027633D"/>
    <w:rsid w:val="00276D90"/>
    <w:rsid w:val="00280532"/>
    <w:rsid w:val="00280EF0"/>
    <w:rsid w:val="00281FD6"/>
    <w:rsid w:val="00282470"/>
    <w:rsid w:val="002861E9"/>
    <w:rsid w:val="002907A2"/>
    <w:rsid w:val="00291407"/>
    <w:rsid w:val="002928B8"/>
    <w:rsid w:val="00292A7A"/>
    <w:rsid w:val="00292F32"/>
    <w:rsid w:val="00294627"/>
    <w:rsid w:val="00297310"/>
    <w:rsid w:val="002A0FB9"/>
    <w:rsid w:val="002A17B9"/>
    <w:rsid w:val="002A5056"/>
    <w:rsid w:val="002A6FBA"/>
    <w:rsid w:val="002A7755"/>
    <w:rsid w:val="002B44DC"/>
    <w:rsid w:val="002B5695"/>
    <w:rsid w:val="002C0798"/>
    <w:rsid w:val="002C2722"/>
    <w:rsid w:val="002D3D0E"/>
    <w:rsid w:val="002D52B6"/>
    <w:rsid w:val="002D7359"/>
    <w:rsid w:val="002E181D"/>
    <w:rsid w:val="002E188F"/>
    <w:rsid w:val="002E634E"/>
    <w:rsid w:val="002E70E0"/>
    <w:rsid w:val="002F21C2"/>
    <w:rsid w:val="00301389"/>
    <w:rsid w:val="00301B5A"/>
    <w:rsid w:val="003034D3"/>
    <w:rsid w:val="00311F00"/>
    <w:rsid w:val="00315493"/>
    <w:rsid w:val="00322DD9"/>
    <w:rsid w:val="0032656D"/>
    <w:rsid w:val="0032680D"/>
    <w:rsid w:val="003268E9"/>
    <w:rsid w:val="0032788B"/>
    <w:rsid w:val="00330948"/>
    <w:rsid w:val="003314F4"/>
    <w:rsid w:val="0033443D"/>
    <w:rsid w:val="003451E9"/>
    <w:rsid w:val="0035349E"/>
    <w:rsid w:val="0035666C"/>
    <w:rsid w:val="003568EA"/>
    <w:rsid w:val="00357419"/>
    <w:rsid w:val="00372F5E"/>
    <w:rsid w:val="003769C4"/>
    <w:rsid w:val="0037769A"/>
    <w:rsid w:val="00377C3E"/>
    <w:rsid w:val="00377ED4"/>
    <w:rsid w:val="00381E27"/>
    <w:rsid w:val="00381ECE"/>
    <w:rsid w:val="00384CAD"/>
    <w:rsid w:val="00384F08"/>
    <w:rsid w:val="0038680E"/>
    <w:rsid w:val="003909C1"/>
    <w:rsid w:val="00391557"/>
    <w:rsid w:val="003954FD"/>
    <w:rsid w:val="0039701D"/>
    <w:rsid w:val="00397C3C"/>
    <w:rsid w:val="003A197B"/>
    <w:rsid w:val="003A43AB"/>
    <w:rsid w:val="003A6B12"/>
    <w:rsid w:val="003A7F8D"/>
    <w:rsid w:val="003B1EDB"/>
    <w:rsid w:val="003B25DB"/>
    <w:rsid w:val="003B433E"/>
    <w:rsid w:val="003B670E"/>
    <w:rsid w:val="003C0AFA"/>
    <w:rsid w:val="003C5697"/>
    <w:rsid w:val="003C5B49"/>
    <w:rsid w:val="003C7266"/>
    <w:rsid w:val="003C7E71"/>
    <w:rsid w:val="003D1275"/>
    <w:rsid w:val="003D1E2E"/>
    <w:rsid w:val="003D3375"/>
    <w:rsid w:val="003D3F7E"/>
    <w:rsid w:val="003D3FC5"/>
    <w:rsid w:val="003E60B2"/>
    <w:rsid w:val="003F0710"/>
    <w:rsid w:val="003F178F"/>
    <w:rsid w:val="003F2863"/>
    <w:rsid w:val="0040142C"/>
    <w:rsid w:val="00402FD8"/>
    <w:rsid w:val="00406B02"/>
    <w:rsid w:val="00407DE6"/>
    <w:rsid w:val="00413469"/>
    <w:rsid w:val="0041532F"/>
    <w:rsid w:val="0041636C"/>
    <w:rsid w:val="004173DB"/>
    <w:rsid w:val="00420DFE"/>
    <w:rsid w:val="00423FE7"/>
    <w:rsid w:val="00427730"/>
    <w:rsid w:val="00436074"/>
    <w:rsid w:val="00443F6F"/>
    <w:rsid w:val="00451B5E"/>
    <w:rsid w:val="0045717D"/>
    <w:rsid w:val="00460AEC"/>
    <w:rsid w:val="004636AE"/>
    <w:rsid w:val="00465045"/>
    <w:rsid w:val="00467E9E"/>
    <w:rsid w:val="004725E9"/>
    <w:rsid w:val="00474720"/>
    <w:rsid w:val="0047519D"/>
    <w:rsid w:val="004759F1"/>
    <w:rsid w:val="00475A1B"/>
    <w:rsid w:val="00480173"/>
    <w:rsid w:val="00484CE3"/>
    <w:rsid w:val="00484D46"/>
    <w:rsid w:val="00492081"/>
    <w:rsid w:val="00494A81"/>
    <w:rsid w:val="004954A0"/>
    <w:rsid w:val="004977EC"/>
    <w:rsid w:val="00497831"/>
    <w:rsid w:val="00497D7D"/>
    <w:rsid w:val="004A1146"/>
    <w:rsid w:val="004A18B5"/>
    <w:rsid w:val="004A2775"/>
    <w:rsid w:val="004A2A4D"/>
    <w:rsid w:val="004A2CB6"/>
    <w:rsid w:val="004A3998"/>
    <w:rsid w:val="004A3A5A"/>
    <w:rsid w:val="004A4482"/>
    <w:rsid w:val="004A4FF8"/>
    <w:rsid w:val="004B0525"/>
    <w:rsid w:val="004B581A"/>
    <w:rsid w:val="004C70EE"/>
    <w:rsid w:val="004D034F"/>
    <w:rsid w:val="004D50D5"/>
    <w:rsid w:val="004D5512"/>
    <w:rsid w:val="004D5947"/>
    <w:rsid w:val="004D780D"/>
    <w:rsid w:val="004E1615"/>
    <w:rsid w:val="004E16D5"/>
    <w:rsid w:val="004E1A9C"/>
    <w:rsid w:val="004E4243"/>
    <w:rsid w:val="004E457B"/>
    <w:rsid w:val="004F33DD"/>
    <w:rsid w:val="004F3995"/>
    <w:rsid w:val="004F6B8A"/>
    <w:rsid w:val="005007A5"/>
    <w:rsid w:val="0050491A"/>
    <w:rsid w:val="005069E8"/>
    <w:rsid w:val="00507EF3"/>
    <w:rsid w:val="00511C44"/>
    <w:rsid w:val="0051214E"/>
    <w:rsid w:val="0051283C"/>
    <w:rsid w:val="005161F6"/>
    <w:rsid w:val="00516BF1"/>
    <w:rsid w:val="00517CF9"/>
    <w:rsid w:val="0052010C"/>
    <w:rsid w:val="00521790"/>
    <w:rsid w:val="00523826"/>
    <w:rsid w:val="005244A0"/>
    <w:rsid w:val="00526B37"/>
    <w:rsid w:val="00527AFD"/>
    <w:rsid w:val="0053015E"/>
    <w:rsid w:val="00530511"/>
    <w:rsid w:val="00534ED5"/>
    <w:rsid w:val="00546323"/>
    <w:rsid w:val="00546C70"/>
    <w:rsid w:val="00551781"/>
    <w:rsid w:val="0055202F"/>
    <w:rsid w:val="00557B5C"/>
    <w:rsid w:val="00557D33"/>
    <w:rsid w:val="00562819"/>
    <w:rsid w:val="00562DC9"/>
    <w:rsid w:val="00571AA4"/>
    <w:rsid w:val="0057216A"/>
    <w:rsid w:val="005729ED"/>
    <w:rsid w:val="0058410D"/>
    <w:rsid w:val="005917A1"/>
    <w:rsid w:val="0059216A"/>
    <w:rsid w:val="005932F4"/>
    <w:rsid w:val="00595192"/>
    <w:rsid w:val="005952AC"/>
    <w:rsid w:val="005954FD"/>
    <w:rsid w:val="005A2260"/>
    <w:rsid w:val="005A7CC8"/>
    <w:rsid w:val="005B0BF6"/>
    <w:rsid w:val="005B33DF"/>
    <w:rsid w:val="005B3905"/>
    <w:rsid w:val="005B422E"/>
    <w:rsid w:val="005B6096"/>
    <w:rsid w:val="005C36CF"/>
    <w:rsid w:val="005D0D73"/>
    <w:rsid w:val="005D0D86"/>
    <w:rsid w:val="005D1CFD"/>
    <w:rsid w:val="005D2580"/>
    <w:rsid w:val="005D324B"/>
    <w:rsid w:val="005D335D"/>
    <w:rsid w:val="005D5656"/>
    <w:rsid w:val="005D7AEF"/>
    <w:rsid w:val="005E3DDA"/>
    <w:rsid w:val="005E4A57"/>
    <w:rsid w:val="005F08D5"/>
    <w:rsid w:val="005F23D0"/>
    <w:rsid w:val="005F4568"/>
    <w:rsid w:val="005F4823"/>
    <w:rsid w:val="005F511E"/>
    <w:rsid w:val="005F6F4B"/>
    <w:rsid w:val="00601169"/>
    <w:rsid w:val="00603461"/>
    <w:rsid w:val="006055E1"/>
    <w:rsid w:val="0060609B"/>
    <w:rsid w:val="0061243D"/>
    <w:rsid w:val="00612A81"/>
    <w:rsid w:val="00615E99"/>
    <w:rsid w:val="0062006A"/>
    <w:rsid w:val="00620236"/>
    <w:rsid w:val="00621A3C"/>
    <w:rsid w:val="00625D04"/>
    <w:rsid w:val="00625E92"/>
    <w:rsid w:val="006266CB"/>
    <w:rsid w:val="00631739"/>
    <w:rsid w:val="006351AD"/>
    <w:rsid w:val="00635212"/>
    <w:rsid w:val="00637787"/>
    <w:rsid w:val="00640ED8"/>
    <w:rsid w:val="00644FE5"/>
    <w:rsid w:val="00645A18"/>
    <w:rsid w:val="006516E1"/>
    <w:rsid w:val="00653C1F"/>
    <w:rsid w:val="0066032B"/>
    <w:rsid w:val="00664069"/>
    <w:rsid w:val="0066509B"/>
    <w:rsid w:val="00667A01"/>
    <w:rsid w:val="00671709"/>
    <w:rsid w:val="006747C4"/>
    <w:rsid w:val="00675A10"/>
    <w:rsid w:val="0067714A"/>
    <w:rsid w:val="0068161E"/>
    <w:rsid w:val="00682112"/>
    <w:rsid w:val="006853F6"/>
    <w:rsid w:val="00691341"/>
    <w:rsid w:val="00691B9E"/>
    <w:rsid w:val="00695269"/>
    <w:rsid w:val="006960F7"/>
    <w:rsid w:val="0069644B"/>
    <w:rsid w:val="006A0464"/>
    <w:rsid w:val="006A0B04"/>
    <w:rsid w:val="006A4598"/>
    <w:rsid w:val="006A66B0"/>
    <w:rsid w:val="006A6E84"/>
    <w:rsid w:val="006B0C72"/>
    <w:rsid w:val="006B2C6F"/>
    <w:rsid w:val="006B3A22"/>
    <w:rsid w:val="006B50AB"/>
    <w:rsid w:val="006B6543"/>
    <w:rsid w:val="006C0966"/>
    <w:rsid w:val="006C326A"/>
    <w:rsid w:val="006C3F00"/>
    <w:rsid w:val="006C4650"/>
    <w:rsid w:val="006D112A"/>
    <w:rsid w:val="006D130C"/>
    <w:rsid w:val="006D614B"/>
    <w:rsid w:val="006D61F7"/>
    <w:rsid w:val="006D7E10"/>
    <w:rsid w:val="006E2E75"/>
    <w:rsid w:val="006E3FCA"/>
    <w:rsid w:val="006E52EE"/>
    <w:rsid w:val="006E6777"/>
    <w:rsid w:val="006F2740"/>
    <w:rsid w:val="006F35D1"/>
    <w:rsid w:val="006F63C4"/>
    <w:rsid w:val="006F6795"/>
    <w:rsid w:val="006F73F7"/>
    <w:rsid w:val="006F76DA"/>
    <w:rsid w:val="00701F49"/>
    <w:rsid w:val="00703195"/>
    <w:rsid w:val="00705741"/>
    <w:rsid w:val="0071199C"/>
    <w:rsid w:val="007151D3"/>
    <w:rsid w:val="0071581C"/>
    <w:rsid w:val="00715CE7"/>
    <w:rsid w:val="007175E6"/>
    <w:rsid w:val="00717BE1"/>
    <w:rsid w:val="00721F00"/>
    <w:rsid w:val="00723F0A"/>
    <w:rsid w:val="00731898"/>
    <w:rsid w:val="00733157"/>
    <w:rsid w:val="00735D44"/>
    <w:rsid w:val="00745A59"/>
    <w:rsid w:val="007534BD"/>
    <w:rsid w:val="00754E9C"/>
    <w:rsid w:val="007559DD"/>
    <w:rsid w:val="0076544E"/>
    <w:rsid w:val="00765993"/>
    <w:rsid w:val="00766C7A"/>
    <w:rsid w:val="00770092"/>
    <w:rsid w:val="00770D53"/>
    <w:rsid w:val="00772C82"/>
    <w:rsid w:val="00774A01"/>
    <w:rsid w:val="00774C0F"/>
    <w:rsid w:val="0077655E"/>
    <w:rsid w:val="007766AD"/>
    <w:rsid w:val="007768FE"/>
    <w:rsid w:val="00776DA1"/>
    <w:rsid w:val="0077773F"/>
    <w:rsid w:val="007819A2"/>
    <w:rsid w:val="00781D79"/>
    <w:rsid w:val="00783217"/>
    <w:rsid w:val="007859C1"/>
    <w:rsid w:val="007905B7"/>
    <w:rsid w:val="00790AFF"/>
    <w:rsid w:val="00790B72"/>
    <w:rsid w:val="007924AA"/>
    <w:rsid w:val="007A15DA"/>
    <w:rsid w:val="007A36C3"/>
    <w:rsid w:val="007A3A5D"/>
    <w:rsid w:val="007A3D42"/>
    <w:rsid w:val="007A7159"/>
    <w:rsid w:val="007B120A"/>
    <w:rsid w:val="007B2F8D"/>
    <w:rsid w:val="007B6125"/>
    <w:rsid w:val="007B7237"/>
    <w:rsid w:val="007B7CF0"/>
    <w:rsid w:val="007C0D61"/>
    <w:rsid w:val="007C2440"/>
    <w:rsid w:val="007C4563"/>
    <w:rsid w:val="007C5B7E"/>
    <w:rsid w:val="007C7E65"/>
    <w:rsid w:val="007D436D"/>
    <w:rsid w:val="007D4DEB"/>
    <w:rsid w:val="007D5760"/>
    <w:rsid w:val="007E53CF"/>
    <w:rsid w:val="007E5A12"/>
    <w:rsid w:val="007F0456"/>
    <w:rsid w:val="008014AF"/>
    <w:rsid w:val="00801640"/>
    <w:rsid w:val="00803129"/>
    <w:rsid w:val="00806FBC"/>
    <w:rsid w:val="00810253"/>
    <w:rsid w:val="008109F4"/>
    <w:rsid w:val="008127B2"/>
    <w:rsid w:val="008172AC"/>
    <w:rsid w:val="008172B8"/>
    <w:rsid w:val="008209A7"/>
    <w:rsid w:val="00823315"/>
    <w:rsid w:val="0082365E"/>
    <w:rsid w:val="00824CC1"/>
    <w:rsid w:val="0082629F"/>
    <w:rsid w:val="0082693F"/>
    <w:rsid w:val="0082739C"/>
    <w:rsid w:val="00827FCA"/>
    <w:rsid w:val="00832433"/>
    <w:rsid w:val="00833642"/>
    <w:rsid w:val="0083585E"/>
    <w:rsid w:val="00835FA9"/>
    <w:rsid w:val="00836F31"/>
    <w:rsid w:val="00840379"/>
    <w:rsid w:val="0084582A"/>
    <w:rsid w:val="00845F38"/>
    <w:rsid w:val="00846401"/>
    <w:rsid w:val="0084755D"/>
    <w:rsid w:val="008518BA"/>
    <w:rsid w:val="0085256B"/>
    <w:rsid w:val="008534AE"/>
    <w:rsid w:val="00854547"/>
    <w:rsid w:val="00863481"/>
    <w:rsid w:val="00864046"/>
    <w:rsid w:val="00865347"/>
    <w:rsid w:val="00867392"/>
    <w:rsid w:val="00873672"/>
    <w:rsid w:val="00874967"/>
    <w:rsid w:val="0088162D"/>
    <w:rsid w:val="008853EB"/>
    <w:rsid w:val="0089267C"/>
    <w:rsid w:val="008A5E7E"/>
    <w:rsid w:val="008B03AB"/>
    <w:rsid w:val="008B3572"/>
    <w:rsid w:val="008B7601"/>
    <w:rsid w:val="008B7899"/>
    <w:rsid w:val="008C0C61"/>
    <w:rsid w:val="008C221C"/>
    <w:rsid w:val="008C454E"/>
    <w:rsid w:val="008D10FD"/>
    <w:rsid w:val="008D1297"/>
    <w:rsid w:val="008D2B91"/>
    <w:rsid w:val="008D68FE"/>
    <w:rsid w:val="008E1D04"/>
    <w:rsid w:val="008E3060"/>
    <w:rsid w:val="008E7055"/>
    <w:rsid w:val="008F392F"/>
    <w:rsid w:val="008F51FB"/>
    <w:rsid w:val="00902806"/>
    <w:rsid w:val="00903F56"/>
    <w:rsid w:val="009043CD"/>
    <w:rsid w:val="00904A03"/>
    <w:rsid w:val="009058D1"/>
    <w:rsid w:val="00905FA1"/>
    <w:rsid w:val="0090674C"/>
    <w:rsid w:val="0090757A"/>
    <w:rsid w:val="00914E89"/>
    <w:rsid w:val="009171FF"/>
    <w:rsid w:val="00921254"/>
    <w:rsid w:val="0092209B"/>
    <w:rsid w:val="0092546D"/>
    <w:rsid w:val="009277DE"/>
    <w:rsid w:val="00927C01"/>
    <w:rsid w:val="00931755"/>
    <w:rsid w:val="00932202"/>
    <w:rsid w:val="0093237B"/>
    <w:rsid w:val="009338F7"/>
    <w:rsid w:val="00941559"/>
    <w:rsid w:val="00942F3B"/>
    <w:rsid w:val="00943931"/>
    <w:rsid w:val="00945A4A"/>
    <w:rsid w:val="00945D01"/>
    <w:rsid w:val="00950FA3"/>
    <w:rsid w:val="00951A36"/>
    <w:rsid w:val="0095342E"/>
    <w:rsid w:val="00954443"/>
    <w:rsid w:val="00954EF3"/>
    <w:rsid w:val="00955B0E"/>
    <w:rsid w:val="009568C4"/>
    <w:rsid w:val="00962614"/>
    <w:rsid w:val="00964296"/>
    <w:rsid w:val="00965FDA"/>
    <w:rsid w:val="00976215"/>
    <w:rsid w:val="00977B34"/>
    <w:rsid w:val="009804D4"/>
    <w:rsid w:val="00981982"/>
    <w:rsid w:val="00984B1A"/>
    <w:rsid w:val="00985888"/>
    <w:rsid w:val="00986371"/>
    <w:rsid w:val="00991465"/>
    <w:rsid w:val="00993074"/>
    <w:rsid w:val="00995A5F"/>
    <w:rsid w:val="00996048"/>
    <w:rsid w:val="009964DD"/>
    <w:rsid w:val="00996785"/>
    <w:rsid w:val="00996C86"/>
    <w:rsid w:val="00996D41"/>
    <w:rsid w:val="009A113D"/>
    <w:rsid w:val="009A4D93"/>
    <w:rsid w:val="009B19BC"/>
    <w:rsid w:val="009B49BE"/>
    <w:rsid w:val="009C2B4D"/>
    <w:rsid w:val="009C4F71"/>
    <w:rsid w:val="009C6F6B"/>
    <w:rsid w:val="009D05E8"/>
    <w:rsid w:val="009D4561"/>
    <w:rsid w:val="009E1C22"/>
    <w:rsid w:val="009E64CC"/>
    <w:rsid w:val="009E73F7"/>
    <w:rsid w:val="009E7762"/>
    <w:rsid w:val="009F1C55"/>
    <w:rsid w:val="009F3E73"/>
    <w:rsid w:val="009F5111"/>
    <w:rsid w:val="009F77D1"/>
    <w:rsid w:val="00A060E1"/>
    <w:rsid w:val="00A079E0"/>
    <w:rsid w:val="00A10EA8"/>
    <w:rsid w:val="00A15539"/>
    <w:rsid w:val="00A22DA6"/>
    <w:rsid w:val="00A26A18"/>
    <w:rsid w:val="00A27777"/>
    <w:rsid w:val="00A277E3"/>
    <w:rsid w:val="00A36E93"/>
    <w:rsid w:val="00A40D3D"/>
    <w:rsid w:val="00A44E3E"/>
    <w:rsid w:val="00A45E44"/>
    <w:rsid w:val="00A52AB9"/>
    <w:rsid w:val="00A54DC6"/>
    <w:rsid w:val="00A57B21"/>
    <w:rsid w:val="00A61558"/>
    <w:rsid w:val="00A62789"/>
    <w:rsid w:val="00A63621"/>
    <w:rsid w:val="00A638C7"/>
    <w:rsid w:val="00A652D9"/>
    <w:rsid w:val="00A66F12"/>
    <w:rsid w:val="00A677AD"/>
    <w:rsid w:val="00A717F1"/>
    <w:rsid w:val="00A72788"/>
    <w:rsid w:val="00A810C4"/>
    <w:rsid w:val="00A955B0"/>
    <w:rsid w:val="00AA04D3"/>
    <w:rsid w:val="00AA3CBF"/>
    <w:rsid w:val="00AB1332"/>
    <w:rsid w:val="00AB2053"/>
    <w:rsid w:val="00AB42A5"/>
    <w:rsid w:val="00AB5AE2"/>
    <w:rsid w:val="00AC011B"/>
    <w:rsid w:val="00AC4600"/>
    <w:rsid w:val="00AC4746"/>
    <w:rsid w:val="00AD1338"/>
    <w:rsid w:val="00AD3964"/>
    <w:rsid w:val="00AD6144"/>
    <w:rsid w:val="00AE1A5F"/>
    <w:rsid w:val="00AE24A6"/>
    <w:rsid w:val="00AE3B40"/>
    <w:rsid w:val="00AF0507"/>
    <w:rsid w:val="00AF0752"/>
    <w:rsid w:val="00AF4D38"/>
    <w:rsid w:val="00AF5EA2"/>
    <w:rsid w:val="00B009C5"/>
    <w:rsid w:val="00B05897"/>
    <w:rsid w:val="00B10702"/>
    <w:rsid w:val="00B16F01"/>
    <w:rsid w:val="00B209FF"/>
    <w:rsid w:val="00B304CD"/>
    <w:rsid w:val="00B3350D"/>
    <w:rsid w:val="00B33B1B"/>
    <w:rsid w:val="00B34AE6"/>
    <w:rsid w:val="00B351B1"/>
    <w:rsid w:val="00B35424"/>
    <w:rsid w:val="00B44EC4"/>
    <w:rsid w:val="00B52BE3"/>
    <w:rsid w:val="00B52FB6"/>
    <w:rsid w:val="00B568D9"/>
    <w:rsid w:val="00B56D12"/>
    <w:rsid w:val="00B578FF"/>
    <w:rsid w:val="00B631CB"/>
    <w:rsid w:val="00B63F75"/>
    <w:rsid w:val="00B646A5"/>
    <w:rsid w:val="00B64E26"/>
    <w:rsid w:val="00B65E25"/>
    <w:rsid w:val="00B66603"/>
    <w:rsid w:val="00B66875"/>
    <w:rsid w:val="00B66CE2"/>
    <w:rsid w:val="00B76B73"/>
    <w:rsid w:val="00B80ED4"/>
    <w:rsid w:val="00B86DF9"/>
    <w:rsid w:val="00B87979"/>
    <w:rsid w:val="00B93302"/>
    <w:rsid w:val="00B93B04"/>
    <w:rsid w:val="00B978F5"/>
    <w:rsid w:val="00BA24F3"/>
    <w:rsid w:val="00BA2F2C"/>
    <w:rsid w:val="00BB04D0"/>
    <w:rsid w:val="00BB2897"/>
    <w:rsid w:val="00BB7EC6"/>
    <w:rsid w:val="00BC2D3E"/>
    <w:rsid w:val="00BC3626"/>
    <w:rsid w:val="00BC41F1"/>
    <w:rsid w:val="00BC6A71"/>
    <w:rsid w:val="00BD0624"/>
    <w:rsid w:val="00BD4536"/>
    <w:rsid w:val="00BD5101"/>
    <w:rsid w:val="00BD57E1"/>
    <w:rsid w:val="00BE1ACF"/>
    <w:rsid w:val="00BE5E31"/>
    <w:rsid w:val="00BE6002"/>
    <w:rsid w:val="00BF0BB3"/>
    <w:rsid w:val="00BF4522"/>
    <w:rsid w:val="00C014B4"/>
    <w:rsid w:val="00C0160B"/>
    <w:rsid w:val="00C0258D"/>
    <w:rsid w:val="00C02B22"/>
    <w:rsid w:val="00C03FD7"/>
    <w:rsid w:val="00C0720A"/>
    <w:rsid w:val="00C124EA"/>
    <w:rsid w:val="00C17FDB"/>
    <w:rsid w:val="00C22E80"/>
    <w:rsid w:val="00C2636D"/>
    <w:rsid w:val="00C32627"/>
    <w:rsid w:val="00C36B15"/>
    <w:rsid w:val="00C42E8C"/>
    <w:rsid w:val="00C47793"/>
    <w:rsid w:val="00C50F93"/>
    <w:rsid w:val="00C55598"/>
    <w:rsid w:val="00C6084E"/>
    <w:rsid w:val="00C65273"/>
    <w:rsid w:val="00C65715"/>
    <w:rsid w:val="00C7041E"/>
    <w:rsid w:val="00C73CC7"/>
    <w:rsid w:val="00C77D35"/>
    <w:rsid w:val="00C82291"/>
    <w:rsid w:val="00C84420"/>
    <w:rsid w:val="00C850EB"/>
    <w:rsid w:val="00C9352E"/>
    <w:rsid w:val="00C9410F"/>
    <w:rsid w:val="00C94176"/>
    <w:rsid w:val="00C96885"/>
    <w:rsid w:val="00CA194E"/>
    <w:rsid w:val="00CA3EEB"/>
    <w:rsid w:val="00CA622A"/>
    <w:rsid w:val="00CA6E6F"/>
    <w:rsid w:val="00CB1529"/>
    <w:rsid w:val="00CB2114"/>
    <w:rsid w:val="00CB22B7"/>
    <w:rsid w:val="00CB5578"/>
    <w:rsid w:val="00CB6F04"/>
    <w:rsid w:val="00CC5570"/>
    <w:rsid w:val="00CC7610"/>
    <w:rsid w:val="00CD6B80"/>
    <w:rsid w:val="00CD792C"/>
    <w:rsid w:val="00CE5495"/>
    <w:rsid w:val="00CE6883"/>
    <w:rsid w:val="00CE723C"/>
    <w:rsid w:val="00CF1AD3"/>
    <w:rsid w:val="00CF246A"/>
    <w:rsid w:val="00CF3A4F"/>
    <w:rsid w:val="00CF6A00"/>
    <w:rsid w:val="00D003F1"/>
    <w:rsid w:val="00D06A54"/>
    <w:rsid w:val="00D120E3"/>
    <w:rsid w:val="00D146BD"/>
    <w:rsid w:val="00D17913"/>
    <w:rsid w:val="00D17B95"/>
    <w:rsid w:val="00D216DF"/>
    <w:rsid w:val="00D2337E"/>
    <w:rsid w:val="00D25612"/>
    <w:rsid w:val="00D25D91"/>
    <w:rsid w:val="00D2670D"/>
    <w:rsid w:val="00D3291C"/>
    <w:rsid w:val="00D356EE"/>
    <w:rsid w:val="00D3610F"/>
    <w:rsid w:val="00D43817"/>
    <w:rsid w:val="00D43DA4"/>
    <w:rsid w:val="00D461C4"/>
    <w:rsid w:val="00D50472"/>
    <w:rsid w:val="00D5170D"/>
    <w:rsid w:val="00D522FB"/>
    <w:rsid w:val="00D53742"/>
    <w:rsid w:val="00D53E08"/>
    <w:rsid w:val="00D56DE6"/>
    <w:rsid w:val="00D63516"/>
    <w:rsid w:val="00D637E2"/>
    <w:rsid w:val="00D640E9"/>
    <w:rsid w:val="00D6581B"/>
    <w:rsid w:val="00D67722"/>
    <w:rsid w:val="00D67D52"/>
    <w:rsid w:val="00D75AD7"/>
    <w:rsid w:val="00D77D5D"/>
    <w:rsid w:val="00D82593"/>
    <w:rsid w:val="00D85197"/>
    <w:rsid w:val="00D859A9"/>
    <w:rsid w:val="00D85CCA"/>
    <w:rsid w:val="00D862D8"/>
    <w:rsid w:val="00D90D62"/>
    <w:rsid w:val="00D9198A"/>
    <w:rsid w:val="00D93A68"/>
    <w:rsid w:val="00DA1B63"/>
    <w:rsid w:val="00DA27DB"/>
    <w:rsid w:val="00DA4487"/>
    <w:rsid w:val="00DB13F2"/>
    <w:rsid w:val="00DB45A2"/>
    <w:rsid w:val="00DB75A0"/>
    <w:rsid w:val="00DC0D2F"/>
    <w:rsid w:val="00DC1A2B"/>
    <w:rsid w:val="00DC2C91"/>
    <w:rsid w:val="00DC519B"/>
    <w:rsid w:val="00DC6C74"/>
    <w:rsid w:val="00DD138A"/>
    <w:rsid w:val="00DD2041"/>
    <w:rsid w:val="00DD3B59"/>
    <w:rsid w:val="00DE234A"/>
    <w:rsid w:val="00DE260E"/>
    <w:rsid w:val="00DE277D"/>
    <w:rsid w:val="00DE3034"/>
    <w:rsid w:val="00DE7272"/>
    <w:rsid w:val="00DF71EE"/>
    <w:rsid w:val="00E00B01"/>
    <w:rsid w:val="00E02FC5"/>
    <w:rsid w:val="00E03F19"/>
    <w:rsid w:val="00E12774"/>
    <w:rsid w:val="00E1289B"/>
    <w:rsid w:val="00E20888"/>
    <w:rsid w:val="00E20FDD"/>
    <w:rsid w:val="00E21BF8"/>
    <w:rsid w:val="00E25817"/>
    <w:rsid w:val="00E2709D"/>
    <w:rsid w:val="00E31EB4"/>
    <w:rsid w:val="00E357B2"/>
    <w:rsid w:val="00E37C6A"/>
    <w:rsid w:val="00E40A35"/>
    <w:rsid w:val="00E428C3"/>
    <w:rsid w:val="00E42F3F"/>
    <w:rsid w:val="00E45AA5"/>
    <w:rsid w:val="00E52A02"/>
    <w:rsid w:val="00E53EB5"/>
    <w:rsid w:val="00E60D48"/>
    <w:rsid w:val="00E65D76"/>
    <w:rsid w:val="00E65F8A"/>
    <w:rsid w:val="00E66F53"/>
    <w:rsid w:val="00E67BA1"/>
    <w:rsid w:val="00E67FA9"/>
    <w:rsid w:val="00E704EE"/>
    <w:rsid w:val="00E70CE4"/>
    <w:rsid w:val="00E71844"/>
    <w:rsid w:val="00E72629"/>
    <w:rsid w:val="00E73E5A"/>
    <w:rsid w:val="00E75943"/>
    <w:rsid w:val="00E76E32"/>
    <w:rsid w:val="00E80549"/>
    <w:rsid w:val="00E817DA"/>
    <w:rsid w:val="00E828F7"/>
    <w:rsid w:val="00E91F23"/>
    <w:rsid w:val="00E9459E"/>
    <w:rsid w:val="00E967B4"/>
    <w:rsid w:val="00EA3217"/>
    <w:rsid w:val="00EA328F"/>
    <w:rsid w:val="00EA6599"/>
    <w:rsid w:val="00EA6D73"/>
    <w:rsid w:val="00EB60DD"/>
    <w:rsid w:val="00EC0BB3"/>
    <w:rsid w:val="00EC2539"/>
    <w:rsid w:val="00EC26C9"/>
    <w:rsid w:val="00ED1B8B"/>
    <w:rsid w:val="00ED3032"/>
    <w:rsid w:val="00ED410B"/>
    <w:rsid w:val="00ED6ED2"/>
    <w:rsid w:val="00ED7C8C"/>
    <w:rsid w:val="00EE161A"/>
    <w:rsid w:val="00EF046C"/>
    <w:rsid w:val="00EF3A3D"/>
    <w:rsid w:val="00EF65C6"/>
    <w:rsid w:val="00F00F8D"/>
    <w:rsid w:val="00F03138"/>
    <w:rsid w:val="00F050C2"/>
    <w:rsid w:val="00F132BC"/>
    <w:rsid w:val="00F14057"/>
    <w:rsid w:val="00F171C9"/>
    <w:rsid w:val="00F2099C"/>
    <w:rsid w:val="00F216A9"/>
    <w:rsid w:val="00F2353F"/>
    <w:rsid w:val="00F30B36"/>
    <w:rsid w:val="00F31BFE"/>
    <w:rsid w:val="00F35382"/>
    <w:rsid w:val="00F376EE"/>
    <w:rsid w:val="00F4239C"/>
    <w:rsid w:val="00F42C17"/>
    <w:rsid w:val="00F43934"/>
    <w:rsid w:val="00F43DEB"/>
    <w:rsid w:val="00F444AF"/>
    <w:rsid w:val="00F56324"/>
    <w:rsid w:val="00F57EC8"/>
    <w:rsid w:val="00F600F1"/>
    <w:rsid w:val="00F60E05"/>
    <w:rsid w:val="00F629B1"/>
    <w:rsid w:val="00F6371C"/>
    <w:rsid w:val="00F64B7A"/>
    <w:rsid w:val="00F74A39"/>
    <w:rsid w:val="00F766EC"/>
    <w:rsid w:val="00F7714C"/>
    <w:rsid w:val="00F7765F"/>
    <w:rsid w:val="00F779C2"/>
    <w:rsid w:val="00F83223"/>
    <w:rsid w:val="00F83AD7"/>
    <w:rsid w:val="00F84033"/>
    <w:rsid w:val="00F84F39"/>
    <w:rsid w:val="00F860C1"/>
    <w:rsid w:val="00F8644F"/>
    <w:rsid w:val="00F913F3"/>
    <w:rsid w:val="00F95373"/>
    <w:rsid w:val="00F97205"/>
    <w:rsid w:val="00FA03BD"/>
    <w:rsid w:val="00FA053B"/>
    <w:rsid w:val="00FC2174"/>
    <w:rsid w:val="00FC2E29"/>
    <w:rsid w:val="00FC39EB"/>
    <w:rsid w:val="00FC50C8"/>
    <w:rsid w:val="00FC554E"/>
    <w:rsid w:val="00FD0F23"/>
    <w:rsid w:val="00FD0F5E"/>
    <w:rsid w:val="00FD3933"/>
    <w:rsid w:val="00FD6B2D"/>
    <w:rsid w:val="00FE2615"/>
    <w:rsid w:val="00FE2887"/>
    <w:rsid w:val="00FE3560"/>
    <w:rsid w:val="00FE414C"/>
    <w:rsid w:val="00FE4233"/>
    <w:rsid w:val="00FE553D"/>
    <w:rsid w:val="00FE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1A22"/>
  <w15:chartTrackingRefBased/>
  <w15:docId w15:val="{58CA3B73-30C1-4C9C-943F-241E8AC1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A00"/>
    <w:pPr>
      <w:spacing w:after="0" w:line="240" w:lineRule="auto"/>
    </w:pPr>
    <w:rPr>
      <w:rFonts w:ascii="Calibri" w:eastAsia="Times New Roman" w:hAnsi="Calibri" w:cs="Times New Roman"/>
      <w:kern w:val="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alutation">
    <w:name w:val="Letter Salutation"/>
    <w:basedOn w:val="Salutation"/>
    <w:qFormat/>
    <w:rsid w:val="00230A80"/>
    <w:pPr>
      <w:suppressAutoHyphens/>
      <w:spacing w:before="240" w:after="240"/>
      <w:textboxTightWrap w:val="allLines"/>
    </w:pPr>
  </w:style>
  <w:style w:type="paragraph" w:customStyle="1" w:styleId="LetterDate">
    <w:name w:val="Letter Date"/>
    <w:basedOn w:val="Normal"/>
    <w:link w:val="LetterDateChar"/>
    <w:qFormat/>
    <w:rsid w:val="00230A80"/>
    <w:pPr>
      <w:spacing w:before="240" w:after="240"/>
      <w:textboxTightWrap w:val="allLines"/>
    </w:pPr>
  </w:style>
  <w:style w:type="paragraph" w:customStyle="1" w:styleId="ReLine">
    <w:name w:val="ReLine"/>
    <w:basedOn w:val="Normal"/>
    <w:rsid w:val="00230A80"/>
    <w:pPr>
      <w:ind w:left="720" w:hanging="720"/>
    </w:pPr>
    <w:rPr>
      <w:szCs w:val="22"/>
    </w:rPr>
  </w:style>
  <w:style w:type="character" w:customStyle="1" w:styleId="LetterDateChar">
    <w:name w:val="Letter Date Char"/>
    <w:basedOn w:val="DefaultParagraphFont"/>
    <w:link w:val="LetterDate"/>
    <w:rsid w:val="00230A80"/>
    <w:rPr>
      <w:rFonts w:ascii="Calibri" w:eastAsia="Times New Roman" w:hAnsi="Calibri" w:cs="Times New Roman"/>
      <w:kern w:val="0"/>
      <w:szCs w:val="20"/>
      <w14:ligatures w14:val="none"/>
    </w:rPr>
  </w:style>
  <w:style w:type="paragraph" w:styleId="Salutation">
    <w:name w:val="Salutation"/>
    <w:basedOn w:val="Normal"/>
    <w:next w:val="Normal"/>
    <w:link w:val="SalutationChar"/>
    <w:uiPriority w:val="99"/>
    <w:semiHidden/>
    <w:unhideWhenUsed/>
    <w:rsid w:val="00230A80"/>
  </w:style>
  <w:style w:type="character" w:customStyle="1" w:styleId="SalutationChar">
    <w:name w:val="Salutation Char"/>
    <w:basedOn w:val="DefaultParagraphFont"/>
    <w:link w:val="Salutation"/>
    <w:uiPriority w:val="99"/>
    <w:semiHidden/>
    <w:rsid w:val="00230A80"/>
    <w:rPr>
      <w:rFonts w:ascii="Calibri" w:eastAsia="Times New Roman" w:hAnsi="Calibri" w:cs="Times New Roman"/>
      <w:kern w:val="0"/>
      <w:szCs w:val="20"/>
      <w14:ligatures w14:val="none"/>
    </w:rPr>
  </w:style>
  <w:style w:type="character" w:styleId="Hyperlink">
    <w:name w:val="Hyperlink"/>
    <w:basedOn w:val="DefaultParagraphFont"/>
    <w:uiPriority w:val="99"/>
    <w:unhideWhenUsed/>
    <w:rsid w:val="00030228"/>
    <w:rPr>
      <w:color w:val="0563C1" w:themeColor="hyperlink"/>
      <w:u w:val="single"/>
    </w:rPr>
  </w:style>
  <w:style w:type="character" w:styleId="UnresolvedMention">
    <w:name w:val="Unresolved Mention"/>
    <w:basedOn w:val="DefaultParagraphFont"/>
    <w:uiPriority w:val="99"/>
    <w:semiHidden/>
    <w:unhideWhenUsed/>
    <w:rsid w:val="00030228"/>
    <w:rPr>
      <w:color w:val="605E5C"/>
      <w:shd w:val="clear" w:color="auto" w:fill="E1DFDD"/>
    </w:rPr>
  </w:style>
  <w:style w:type="paragraph" w:styleId="ListParagraph">
    <w:name w:val="List Paragraph"/>
    <w:basedOn w:val="Normal"/>
    <w:uiPriority w:val="34"/>
    <w:qFormat/>
    <w:rsid w:val="0027509D"/>
    <w:pPr>
      <w:ind w:left="720"/>
      <w:contextualSpacing/>
    </w:pPr>
  </w:style>
  <w:style w:type="table" w:styleId="TableGrid">
    <w:name w:val="Table Grid"/>
    <w:basedOn w:val="TableNormal"/>
    <w:uiPriority w:val="39"/>
    <w:rsid w:val="00BC3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238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347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5373"/>
    <w:pPr>
      <w:tabs>
        <w:tab w:val="center" w:pos="4680"/>
        <w:tab w:val="right" w:pos="9360"/>
      </w:tabs>
    </w:pPr>
  </w:style>
  <w:style w:type="character" w:customStyle="1" w:styleId="HeaderChar">
    <w:name w:val="Header Char"/>
    <w:basedOn w:val="DefaultParagraphFont"/>
    <w:link w:val="Header"/>
    <w:uiPriority w:val="99"/>
    <w:rsid w:val="00F95373"/>
    <w:rPr>
      <w:rFonts w:ascii="Calibri" w:eastAsia="Times New Roman" w:hAnsi="Calibri" w:cs="Times New Roman"/>
      <w:kern w:val="0"/>
      <w:szCs w:val="20"/>
      <w14:ligatures w14:val="none"/>
    </w:rPr>
  </w:style>
  <w:style w:type="paragraph" w:styleId="Footer">
    <w:name w:val="footer"/>
    <w:basedOn w:val="Normal"/>
    <w:link w:val="FooterChar"/>
    <w:uiPriority w:val="99"/>
    <w:unhideWhenUsed/>
    <w:rsid w:val="00F95373"/>
    <w:pPr>
      <w:tabs>
        <w:tab w:val="center" w:pos="4680"/>
        <w:tab w:val="right" w:pos="9360"/>
      </w:tabs>
    </w:pPr>
  </w:style>
  <w:style w:type="character" w:customStyle="1" w:styleId="FooterChar">
    <w:name w:val="Footer Char"/>
    <w:basedOn w:val="DefaultParagraphFont"/>
    <w:link w:val="Footer"/>
    <w:uiPriority w:val="99"/>
    <w:rsid w:val="00F95373"/>
    <w:rPr>
      <w:rFonts w:ascii="Calibri" w:eastAsia="Times New Roman" w:hAnsi="Calibri" w:cs="Times New Roman"/>
      <w:kern w:val="0"/>
      <w:szCs w:val="20"/>
      <w14:ligatures w14:val="none"/>
    </w:rPr>
  </w:style>
  <w:style w:type="paragraph" w:styleId="NormalWeb">
    <w:name w:val="Normal (Web)"/>
    <w:basedOn w:val="Normal"/>
    <w:uiPriority w:val="99"/>
    <w:semiHidden/>
    <w:unhideWhenUsed/>
    <w:rsid w:val="00E40A35"/>
    <w:pPr>
      <w:spacing w:before="100" w:beforeAutospacing="1" w:after="100" w:afterAutospacing="1"/>
    </w:pPr>
    <w:rPr>
      <w:rFonts w:ascii="Times New Roman" w:hAnsi="Times New Roman"/>
      <w:sz w:val="24"/>
      <w:szCs w:val="24"/>
    </w:rPr>
  </w:style>
  <w:style w:type="numbering" w:customStyle="1" w:styleId="NoList1">
    <w:name w:val="No List1"/>
    <w:next w:val="NoList"/>
    <w:uiPriority w:val="99"/>
    <w:semiHidden/>
    <w:unhideWhenUsed/>
    <w:rsid w:val="003E60B2"/>
  </w:style>
  <w:style w:type="character" w:styleId="PlaceholderText">
    <w:name w:val="Placeholder Text"/>
    <w:basedOn w:val="DefaultParagraphFont"/>
    <w:uiPriority w:val="99"/>
    <w:semiHidden/>
    <w:rsid w:val="00846401"/>
    <w:rPr>
      <w:color w:val="808080"/>
    </w:rPr>
  </w:style>
  <w:style w:type="paragraph" w:styleId="FootnoteText">
    <w:name w:val="footnote text"/>
    <w:basedOn w:val="Normal"/>
    <w:link w:val="FootnoteTextChar"/>
    <w:uiPriority w:val="99"/>
    <w:semiHidden/>
    <w:unhideWhenUsed/>
    <w:rsid w:val="00D216DF"/>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semiHidden/>
    <w:rsid w:val="00D216DF"/>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D216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33447">
      <w:bodyDiv w:val="1"/>
      <w:marLeft w:val="0"/>
      <w:marRight w:val="0"/>
      <w:marTop w:val="0"/>
      <w:marBottom w:val="0"/>
      <w:divBdr>
        <w:top w:val="none" w:sz="0" w:space="0" w:color="auto"/>
        <w:left w:val="none" w:sz="0" w:space="0" w:color="auto"/>
        <w:bottom w:val="none" w:sz="0" w:space="0" w:color="auto"/>
        <w:right w:val="none" w:sz="0" w:space="0" w:color="auto"/>
      </w:divBdr>
    </w:div>
    <w:div w:id="369305177">
      <w:bodyDiv w:val="1"/>
      <w:marLeft w:val="0"/>
      <w:marRight w:val="0"/>
      <w:marTop w:val="0"/>
      <w:marBottom w:val="0"/>
      <w:divBdr>
        <w:top w:val="none" w:sz="0" w:space="0" w:color="auto"/>
        <w:left w:val="none" w:sz="0" w:space="0" w:color="auto"/>
        <w:bottom w:val="none" w:sz="0" w:space="0" w:color="auto"/>
        <w:right w:val="none" w:sz="0" w:space="0" w:color="auto"/>
      </w:divBdr>
    </w:div>
    <w:div w:id="397704064">
      <w:bodyDiv w:val="1"/>
      <w:marLeft w:val="0"/>
      <w:marRight w:val="0"/>
      <w:marTop w:val="0"/>
      <w:marBottom w:val="0"/>
      <w:divBdr>
        <w:top w:val="none" w:sz="0" w:space="0" w:color="auto"/>
        <w:left w:val="none" w:sz="0" w:space="0" w:color="auto"/>
        <w:bottom w:val="none" w:sz="0" w:space="0" w:color="auto"/>
        <w:right w:val="none" w:sz="0" w:space="0" w:color="auto"/>
      </w:divBdr>
    </w:div>
    <w:div w:id="442577662">
      <w:bodyDiv w:val="1"/>
      <w:marLeft w:val="0"/>
      <w:marRight w:val="0"/>
      <w:marTop w:val="0"/>
      <w:marBottom w:val="0"/>
      <w:divBdr>
        <w:top w:val="none" w:sz="0" w:space="0" w:color="auto"/>
        <w:left w:val="none" w:sz="0" w:space="0" w:color="auto"/>
        <w:bottom w:val="none" w:sz="0" w:space="0" w:color="auto"/>
        <w:right w:val="none" w:sz="0" w:space="0" w:color="auto"/>
      </w:divBdr>
    </w:div>
    <w:div w:id="879829222">
      <w:bodyDiv w:val="1"/>
      <w:marLeft w:val="0"/>
      <w:marRight w:val="0"/>
      <w:marTop w:val="0"/>
      <w:marBottom w:val="0"/>
      <w:divBdr>
        <w:top w:val="none" w:sz="0" w:space="0" w:color="auto"/>
        <w:left w:val="none" w:sz="0" w:space="0" w:color="auto"/>
        <w:bottom w:val="none" w:sz="0" w:space="0" w:color="auto"/>
        <w:right w:val="none" w:sz="0" w:space="0" w:color="auto"/>
      </w:divBdr>
    </w:div>
    <w:div w:id="901527662">
      <w:bodyDiv w:val="1"/>
      <w:marLeft w:val="0"/>
      <w:marRight w:val="0"/>
      <w:marTop w:val="0"/>
      <w:marBottom w:val="0"/>
      <w:divBdr>
        <w:top w:val="none" w:sz="0" w:space="0" w:color="auto"/>
        <w:left w:val="none" w:sz="0" w:space="0" w:color="auto"/>
        <w:bottom w:val="none" w:sz="0" w:space="0" w:color="auto"/>
        <w:right w:val="none" w:sz="0" w:space="0" w:color="auto"/>
      </w:divBdr>
    </w:div>
    <w:div w:id="1240361263">
      <w:bodyDiv w:val="1"/>
      <w:marLeft w:val="0"/>
      <w:marRight w:val="0"/>
      <w:marTop w:val="0"/>
      <w:marBottom w:val="0"/>
      <w:divBdr>
        <w:top w:val="none" w:sz="0" w:space="0" w:color="auto"/>
        <w:left w:val="none" w:sz="0" w:space="0" w:color="auto"/>
        <w:bottom w:val="none" w:sz="0" w:space="0" w:color="auto"/>
        <w:right w:val="none" w:sz="0" w:space="0" w:color="auto"/>
      </w:divBdr>
    </w:div>
    <w:div w:id="1275675912">
      <w:bodyDiv w:val="1"/>
      <w:marLeft w:val="0"/>
      <w:marRight w:val="0"/>
      <w:marTop w:val="0"/>
      <w:marBottom w:val="0"/>
      <w:divBdr>
        <w:top w:val="none" w:sz="0" w:space="0" w:color="auto"/>
        <w:left w:val="none" w:sz="0" w:space="0" w:color="auto"/>
        <w:bottom w:val="none" w:sz="0" w:space="0" w:color="auto"/>
        <w:right w:val="none" w:sz="0" w:space="0" w:color="auto"/>
      </w:divBdr>
    </w:div>
    <w:div w:id="1301350490">
      <w:bodyDiv w:val="1"/>
      <w:marLeft w:val="0"/>
      <w:marRight w:val="0"/>
      <w:marTop w:val="0"/>
      <w:marBottom w:val="0"/>
      <w:divBdr>
        <w:top w:val="none" w:sz="0" w:space="0" w:color="auto"/>
        <w:left w:val="none" w:sz="0" w:space="0" w:color="auto"/>
        <w:bottom w:val="none" w:sz="0" w:space="0" w:color="auto"/>
        <w:right w:val="none" w:sz="0" w:space="0" w:color="auto"/>
      </w:divBdr>
    </w:div>
    <w:div w:id="1406106552">
      <w:bodyDiv w:val="1"/>
      <w:marLeft w:val="0"/>
      <w:marRight w:val="0"/>
      <w:marTop w:val="0"/>
      <w:marBottom w:val="0"/>
      <w:divBdr>
        <w:top w:val="none" w:sz="0" w:space="0" w:color="auto"/>
        <w:left w:val="none" w:sz="0" w:space="0" w:color="auto"/>
        <w:bottom w:val="none" w:sz="0" w:space="0" w:color="auto"/>
        <w:right w:val="none" w:sz="0" w:space="0" w:color="auto"/>
      </w:divBdr>
    </w:div>
    <w:div w:id="190764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medpac.gov/document/march-2023-report-to-the-congress-medicare-payment-policy/" TargetMode="External"/><Relationship Id="rId26" Type="http://schemas.openxmlformats.org/officeDocument/2006/relationships/hyperlink" Target="https://www.cms.gov/Medicare/Medicare-Fee-for-Service-Payment/HomeHealthPPS/Downloads/CMS-1147-NC.pdf" TargetMode="External"/><Relationship Id="rId39" Type="http://schemas.openxmlformats.org/officeDocument/2006/relationships/hyperlink" Target="https://www.govinfo.gov/content/pkg/FR-2014-11-06/pdf/2014-26057.pdf" TargetMode="External"/><Relationship Id="rId21" Type="http://schemas.openxmlformats.org/officeDocument/2006/relationships/hyperlink" Target="https://www.cms.gov/research-statistics-data-and-systems/downloadable-public-use-files/cost-reports/cost-reports-by-fiscal-year" TargetMode="External"/><Relationship Id="rId34" Type="http://schemas.openxmlformats.org/officeDocument/2006/relationships/hyperlink" Target="https://www.govinfo.gov/content/pkg/FR-2009-11-10/pdf/E9-26503.pdf" TargetMode="External"/><Relationship Id="rId42" Type="http://schemas.openxmlformats.org/officeDocument/2006/relationships/hyperlink" Target="https://www.govinfo.gov/content/pkg/FR-2017-11-07/pdf/2017-23935.pdf" TargetMode="External"/><Relationship Id="rId47" Type="http://schemas.openxmlformats.org/officeDocument/2006/relationships/hyperlink" Target="https://www.govinfo.gov/content/pkg/FR-2023-07-10/pdf/2023-14044.pdf" TargetMode="External"/><Relationship Id="rId50" Type="http://schemas.openxmlformats.org/officeDocument/2006/relationships/image" Target="media/image12.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cms.gov/Regulations-and-Guidance/Regulations-and-Policies/QuarterlyProviderUpdates/Downloads/cms1265f.pdf" TargetMode="External"/><Relationship Id="rId11" Type="http://schemas.openxmlformats.org/officeDocument/2006/relationships/image" Target="media/image3.png"/><Relationship Id="rId24" Type="http://schemas.openxmlformats.org/officeDocument/2006/relationships/hyperlink" Target="https://www.govinfo.gov/content/pkg/FR-2000-07-03/pdf/00-16432.pdf" TargetMode="External"/><Relationship Id="rId32" Type="http://schemas.openxmlformats.org/officeDocument/2006/relationships/hyperlink" Target="https://www.govinfo.gov/content/pkg/FR-2007-08-29/pdf/07-4184.pdf" TargetMode="External"/><Relationship Id="rId37" Type="http://schemas.openxmlformats.org/officeDocument/2006/relationships/hyperlink" Target="https://www.govinfo.gov/content/pkg/FR-2012-11-08/pdf/2012-26904.pdf" TargetMode="External"/><Relationship Id="rId40" Type="http://schemas.openxmlformats.org/officeDocument/2006/relationships/hyperlink" Target="https://www.govinfo.gov/content/pkg/FR-2015-11-05/pdf/2015-27931.pdf" TargetMode="External"/><Relationship Id="rId45" Type="http://schemas.openxmlformats.org/officeDocument/2006/relationships/hyperlink" Target="https://www.govinfo.gov/content/pkg/FR-2020-11-04/pdf/2020-24146.pdf"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ata.cms.gov/summary-statistics-on-use-and-payments/program-integrity-market-saturation-by-type-of-service/market-saturation-utilization-state-county" TargetMode="External"/><Relationship Id="rId19" Type="http://schemas.openxmlformats.org/officeDocument/2006/relationships/hyperlink" Target="https://www.medpac.gov/document/march-2024-report-to-the-congress-medicare-payment-policy/" TargetMode="External"/><Relationship Id="rId31" Type="http://schemas.openxmlformats.org/officeDocument/2006/relationships/hyperlink" Target="https://www.cms.gov/Medicare/Medicare-Fee-for-Service-Payment/HomeHealthPPS/Downloads/cms1304f.pdf" TargetMode="External"/><Relationship Id="rId44" Type="http://schemas.openxmlformats.org/officeDocument/2006/relationships/hyperlink" Target="https://www.govinfo.gov/content/pkg/FR-2019-11-08/pdf/2019-24026.pdf"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ms.gov/research-statistics-data-and-systems/statistics-trends-and-reports/cmsprogramstatistics" TargetMode="External"/><Relationship Id="rId27" Type="http://schemas.openxmlformats.org/officeDocument/2006/relationships/hyperlink" Target="https://www.cms.gov/Regulations-and-Guidance/Regulations-and-Policies/QuarterlyProviderUpdates/Downloads/cms1198nc.pdf" TargetMode="External"/><Relationship Id="rId30" Type="http://schemas.openxmlformats.org/officeDocument/2006/relationships/hyperlink" Target="https://www.cms.gov/Regulations-and-Guidance/Regulations-and-Policies/QuarterlyProviderUpdates/Downloads/cms1301f.pdf" TargetMode="External"/><Relationship Id="rId35" Type="http://schemas.openxmlformats.org/officeDocument/2006/relationships/hyperlink" Target="https://www.govinfo.gov/content/pkg/FR-2010-11-17/pdf/2010-27778.pdf" TargetMode="External"/><Relationship Id="rId43" Type="http://schemas.openxmlformats.org/officeDocument/2006/relationships/hyperlink" Target="https://www.govinfo.gov/content/pkg/FR-2018-11-13/pdf/2018-24145.pdf" TargetMode="External"/><Relationship Id="rId48" Type="http://schemas.openxmlformats.org/officeDocument/2006/relationships/hyperlink" Target="file:///C:/Users/wad/AppData/Local/Microsoft/Windows/INetCache/Content.Outlook/L69H8U3R/Issue-Brief-Patients-and-Providers-Faced-with-Increasing-Delays-in-Timely-Discharges.pdf"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vinfo.gov/content/pkg/FR-2000-07-03/pdf/00-16432.pdf" TargetMode="External"/><Relationship Id="rId33" Type="http://schemas.openxmlformats.org/officeDocument/2006/relationships/hyperlink" Target="https://www.govinfo.gov/content/pkg/FR-2008-11-03/pdf/E8-26142.pdf" TargetMode="External"/><Relationship Id="rId38" Type="http://schemas.openxmlformats.org/officeDocument/2006/relationships/hyperlink" Target="https://www.govinfo.gov/content/pkg/FR-2013-12-02/pdf/2013-28457.pdf" TargetMode="External"/><Relationship Id="rId46" Type="http://schemas.openxmlformats.org/officeDocument/2006/relationships/hyperlink" Target="https://www.govinfo.gov/content/pkg/FR-2021-11-09/pdf/2021-23993.pdf" TargetMode="External"/><Relationship Id="rId20" Type="http://schemas.openxmlformats.org/officeDocument/2006/relationships/image" Target="media/image10.emf"/><Relationship Id="rId41" Type="http://schemas.openxmlformats.org/officeDocument/2006/relationships/hyperlink" Target="https://www.govinfo.gov/content/pkg/FR-2016-11-03/pdf/2016-26290.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ms.gov/Research-Statistics-Data-and-Systems/Statistics-Trends-and-Reports/Archives/MMSS" TargetMode="External"/><Relationship Id="rId28" Type="http://schemas.openxmlformats.org/officeDocument/2006/relationships/hyperlink" Target="https://www.cms.gov/Medicare/Medicare-Fee-for-Service-Payment/HomeHealthPPS/Downloads/cms1473nc.pdf" TargetMode="External"/><Relationship Id="rId36" Type="http://schemas.openxmlformats.org/officeDocument/2006/relationships/hyperlink" Target="https://www.govinfo.gov/content/pkg/FR-2011-11-04/pdf/2011-28416.pdf" TargetMode="External"/><Relationship Id="rId4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cms.gov/files/document/draft-oasis-e1-manual-04-28-2024.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A6B75AFA8C47BBA70177167330F3F6"/>
        <w:category>
          <w:name w:val="General"/>
          <w:gallery w:val="placeholder"/>
        </w:category>
        <w:types>
          <w:type w:val="bbPlcHdr"/>
        </w:types>
        <w:behaviors>
          <w:behavior w:val="content"/>
        </w:behaviors>
        <w:guid w:val="{DBAED04C-9408-4118-B5E2-2ABC63552B12}"/>
      </w:docPartPr>
      <w:docPartBody>
        <w:p w:rsidR="0063291C" w:rsidRDefault="00DF6D05" w:rsidP="00DF6D05">
          <w:pPr>
            <w:pStyle w:val="8CA6B75AFA8C47BBA70177167330F3F6"/>
          </w:pPr>
          <w:r w:rsidRPr="00DC432A">
            <w:rPr>
              <w:rStyle w:val="PlaceholderText"/>
            </w:rPr>
            <w:t>Addressees</w:t>
          </w:r>
        </w:p>
      </w:docPartBody>
    </w:docPart>
    <w:docPart>
      <w:docPartPr>
        <w:name w:val="055804F9350D4FB1AAAF20FC769BCF54"/>
        <w:category>
          <w:name w:val="General"/>
          <w:gallery w:val="placeholder"/>
        </w:category>
        <w:types>
          <w:type w:val="bbPlcHdr"/>
        </w:types>
        <w:behaviors>
          <w:behavior w:val="content"/>
        </w:behaviors>
        <w:guid w:val="{19435B77-FC9E-4CB0-BD18-A9BABA5C8DF5}"/>
      </w:docPartPr>
      <w:docPartBody>
        <w:p w:rsidR="0063291C" w:rsidRDefault="00DF6D05" w:rsidP="00DF6D05">
          <w:pPr>
            <w:pStyle w:val="055804F9350D4FB1AAAF20FC769BCF54"/>
          </w:pPr>
          <w:r w:rsidRPr="00A83AE8">
            <w:rPr>
              <w:rStyle w:val="PlaceholderText"/>
            </w:rPr>
            <w:t>Salutation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D05"/>
    <w:rsid w:val="002A0D05"/>
    <w:rsid w:val="005A1823"/>
    <w:rsid w:val="00612A81"/>
    <w:rsid w:val="0063291C"/>
    <w:rsid w:val="006516E1"/>
    <w:rsid w:val="006C3DD7"/>
    <w:rsid w:val="006F73F7"/>
    <w:rsid w:val="00772C82"/>
    <w:rsid w:val="00CF4A6A"/>
    <w:rsid w:val="00D63DCC"/>
    <w:rsid w:val="00DF6D05"/>
    <w:rsid w:val="00E400DB"/>
    <w:rsid w:val="00FF7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D05"/>
    <w:rPr>
      <w:color w:val="808080"/>
    </w:rPr>
  </w:style>
  <w:style w:type="paragraph" w:customStyle="1" w:styleId="8CA6B75AFA8C47BBA70177167330F3F6">
    <w:name w:val="8CA6B75AFA8C47BBA70177167330F3F6"/>
    <w:rsid w:val="00DF6D05"/>
  </w:style>
  <w:style w:type="paragraph" w:customStyle="1" w:styleId="055804F9350D4FB1AAAF20FC769BCF54">
    <w:name w:val="055804F9350D4FB1AAAF20FC769BCF54"/>
    <w:rsid w:val="00DF6D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B7863-8EDA-4777-9D17-7DADA0AE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12982</Words>
  <Characters>73998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Dombi</dc:creator>
  <cp:keywords/>
  <dc:description/>
  <cp:lastModifiedBy>Bill Dombi</cp:lastModifiedBy>
  <cp:revision>7</cp:revision>
  <cp:lastPrinted>2023-08-29T14:03:00Z</cp:lastPrinted>
  <dcterms:created xsi:type="dcterms:W3CDTF">2024-08-19T12:17:00Z</dcterms:created>
  <dcterms:modified xsi:type="dcterms:W3CDTF">2024-08-20T14:03:00Z</dcterms:modified>
</cp:coreProperties>
</file>