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530D" w14:textId="5E138C14" w:rsidR="009950C3" w:rsidRPr="004B4295" w:rsidRDefault="009950C3" w:rsidP="004B4295">
      <w:pPr>
        <w:pStyle w:val="ListParagraph"/>
        <w:numPr>
          <w:ilvl w:val="0"/>
          <w:numId w:val="5"/>
        </w:numPr>
        <w:pBdr>
          <w:top w:val="single" w:sz="4" w:space="1" w:color="auto"/>
          <w:left w:val="single" w:sz="4" w:space="4" w:color="auto"/>
          <w:bottom w:val="single" w:sz="4" w:space="1" w:color="auto"/>
          <w:right w:val="single" w:sz="4" w:space="4" w:color="auto"/>
        </w:pBdr>
        <w:ind w:hanging="720"/>
        <w:rPr>
          <w:rFonts w:ascii="Source Sans Pro" w:hAnsi="Source Sans Pro"/>
          <w:b/>
          <w:bCs/>
          <w:color w:val="17C1C1"/>
          <w:sz w:val="32"/>
          <w:szCs w:val="32"/>
        </w:rPr>
      </w:pPr>
      <w:r w:rsidRPr="004B4295">
        <w:rPr>
          <w:rFonts w:ascii="Source Sans Pro" w:hAnsi="Source Sans Pro"/>
          <w:b/>
          <w:bCs/>
          <w:color w:val="17C1C1"/>
          <w:sz w:val="32"/>
          <w:szCs w:val="32"/>
        </w:rPr>
        <w:t xml:space="preserve">Payment Provisions </w:t>
      </w:r>
    </w:p>
    <w:p w14:paraId="1A90E0AF"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In 2023, CMS applied a 3.925% permanent rate reduction after originally proposing a 7.85% reduction. At the time, CMS explained that the lower adjustment would be applied because “we recognize the potential hardship of implementing the full -7.85%permanent adjustment in a single year.”</w:t>
      </w:r>
    </w:p>
    <w:p w14:paraId="43084D93" w14:textId="77777777" w:rsidR="009950C3" w:rsidRPr="005E0C22" w:rsidRDefault="009950C3" w:rsidP="009950C3">
      <w:pPr>
        <w:spacing w:after="0" w:line="240" w:lineRule="auto"/>
        <w:rPr>
          <w:rFonts w:ascii="Source Sans Pro" w:eastAsia="Calibri" w:hAnsi="Source Sans Pro" w:cs="Calibri"/>
          <w:kern w:val="0"/>
          <w14:ligatures w14:val="none"/>
        </w:rPr>
      </w:pPr>
    </w:p>
    <w:p w14:paraId="3094DC7E"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 xml:space="preserve">As anticipated, the CY 2024 Proposed Rule came with rate cuts for providers. The proposed rate cut for 2024 is 5.653%. This represents the remainder of the original 7.85% rate reduction that CMS calculated as warranted under its methodology for 2020 and 2021 along with an additional 1.636% for 2022, totaling 9.36% overall from the beginning of PDGM. CMS states that “applying the full permanent adjustment of -5.635% in CY 2024 would potentially reduce any future permanent adjustments.” After behavior adjustments applied to 30-day period payments, this is reduced to 5.1%. CMS also increased the outlier fixed dollar loss (FDL) threshold by a .2% increase. </w:t>
      </w:r>
    </w:p>
    <w:p w14:paraId="59DB8A50" w14:textId="77777777" w:rsidR="009950C3" w:rsidRPr="005E0C22" w:rsidRDefault="009950C3" w:rsidP="009950C3">
      <w:pPr>
        <w:spacing w:after="0" w:line="240" w:lineRule="auto"/>
        <w:rPr>
          <w:rFonts w:ascii="Source Sans Pro" w:eastAsia="Calibri" w:hAnsi="Source Sans Pro" w:cs="Calibri"/>
          <w:kern w:val="0"/>
          <w14:ligatures w14:val="none"/>
        </w:rPr>
      </w:pPr>
    </w:p>
    <w:p w14:paraId="443A8E3F" w14:textId="6B0C7A53" w:rsidR="00666C95" w:rsidRPr="005E0C22" w:rsidRDefault="009950C3" w:rsidP="009950C3">
      <w:pPr>
        <w:spacing w:after="0" w:line="240" w:lineRule="auto"/>
        <w:rPr>
          <w:rFonts w:ascii="Source Sans Pro" w:eastAsia="Calibri" w:hAnsi="Source Sans Pro" w:cs="Calibri"/>
          <w:b/>
          <w:bCs/>
          <w:kern w:val="0"/>
          <w14:ligatures w14:val="none"/>
        </w:rPr>
      </w:pPr>
      <w:r w:rsidRPr="005E0C22">
        <w:rPr>
          <w:rFonts w:ascii="Source Sans Pro" w:eastAsia="Calibri" w:hAnsi="Source Sans Pro" w:cs="Calibri"/>
          <w:kern w:val="0"/>
          <w14:ligatures w14:val="none"/>
        </w:rPr>
        <w:t xml:space="preserve">The Proposed Rule provides for a </w:t>
      </w:r>
      <w:r w:rsidRPr="005E0C22">
        <w:rPr>
          <w:rFonts w:ascii="Source Sans Pro" w:eastAsia="Calibri" w:hAnsi="Source Sans Pro" w:cs="Calibri"/>
        </w:rPr>
        <w:t>2024</w:t>
      </w:r>
      <w:r w:rsidRPr="005E0C22">
        <w:rPr>
          <w:rFonts w:ascii="Source Sans Pro" w:eastAsia="Calibri" w:hAnsi="Source Sans Pro" w:cs="Calibri"/>
          <w:kern w:val="0"/>
          <w14:ligatures w14:val="none"/>
        </w:rPr>
        <w:t xml:space="preserve"> payment update of 2.7%, which is based on a market basket increase of 3.0%minus a .3%productivity adjustment. </w:t>
      </w:r>
      <w:r w:rsidRPr="005E0C22">
        <w:rPr>
          <w:rFonts w:ascii="Source Sans Pro" w:eastAsia="Calibri" w:hAnsi="Source Sans Pro" w:cs="Calibri"/>
          <w:b/>
          <w:bCs/>
          <w:kern w:val="0"/>
          <w14:ligatures w14:val="none"/>
        </w:rPr>
        <w:t>Overall, this will leave home health agencies facing a 2.2% cut in CY 2024.</w:t>
      </w:r>
    </w:p>
    <w:p w14:paraId="7FB6D2C1" w14:textId="77777777" w:rsidR="009950C3" w:rsidRPr="005E0C22" w:rsidRDefault="009950C3" w:rsidP="009950C3">
      <w:pPr>
        <w:spacing w:after="0" w:line="240" w:lineRule="auto"/>
        <w:rPr>
          <w:rFonts w:ascii="Source Sans Pro" w:eastAsia="Calibri" w:hAnsi="Source Sans Pro" w:cs="Calibri"/>
          <w:b/>
          <w:bCs/>
          <w:kern w:val="0"/>
          <w14:ligatures w14:val="none"/>
        </w:rPr>
      </w:pPr>
    </w:p>
    <w:p w14:paraId="6D8AC13D" w14:textId="39A3A265" w:rsidR="009950C3" w:rsidRDefault="009950C3">
      <w:pPr>
        <w:rPr>
          <w:rFonts w:ascii="Source Sans Pro" w:hAnsi="Source Sans Pro"/>
        </w:rPr>
      </w:pPr>
      <w:r w:rsidRPr="005E0C22">
        <w:rPr>
          <w:rFonts w:ascii="Source Sans Pro" w:hAnsi="Source Sans Pro"/>
        </w:rPr>
        <w:t xml:space="preserve">CMS is proposing to recalibrate the 432 PDGM case-mix weights, LUPA thresholds, functional levels, and comorbidity adjustment subgroups using 2022 data. Detailed charts on all the recalibrated items can be found on pages </w:t>
      </w:r>
      <w:hyperlink r:id="rId7" w:history="1">
        <w:r w:rsidRPr="005E0C22">
          <w:rPr>
            <w:rStyle w:val="Hyperlink"/>
            <w:rFonts w:ascii="Source Sans Pro" w:hAnsi="Source Sans Pro"/>
            <w:color w:val="E29334"/>
          </w:rPr>
          <w:t>58-83</w:t>
        </w:r>
      </w:hyperlink>
      <w:r w:rsidRPr="005E0C22">
        <w:rPr>
          <w:rFonts w:ascii="Source Sans Pro" w:hAnsi="Source Sans Pro"/>
        </w:rPr>
        <w:t xml:space="preserve"> of the Proposed Rule.</w:t>
      </w:r>
      <w:r w:rsidR="004D055A">
        <w:rPr>
          <w:rFonts w:ascii="Source Sans Pro" w:hAnsi="Source Sans Pro"/>
        </w:rPr>
        <w:t xml:space="preserve"> See below for snips from webinars-</w:t>
      </w:r>
    </w:p>
    <w:p w14:paraId="57486811" w14:textId="0044A6EC" w:rsidR="004D055A" w:rsidRDefault="004D055A">
      <w:pPr>
        <w:rPr>
          <w:rFonts w:ascii="Source Sans Pro" w:hAnsi="Source Sans Pro"/>
        </w:rPr>
      </w:pPr>
      <w:r w:rsidRPr="004D055A">
        <w:rPr>
          <w:rFonts w:ascii="Source Sans Pro" w:hAnsi="Source Sans Pro"/>
          <w:noProof/>
        </w:rPr>
        <w:drawing>
          <wp:inline distT="0" distB="0" distL="0" distR="0" wp14:anchorId="64C45CA9" wp14:editId="10CF4775">
            <wp:extent cx="5232596" cy="3028950"/>
            <wp:effectExtent l="0" t="0" r="6350" b="0"/>
            <wp:docPr id="1679086833" name="Picture 1" descr="A graph of weight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833" name="Picture 1" descr="A graph of weight loss&#10;&#10;Description automatically generated"/>
                    <pic:cNvPicPr/>
                  </pic:nvPicPr>
                  <pic:blipFill>
                    <a:blip r:embed="rId8"/>
                    <a:stretch>
                      <a:fillRect/>
                    </a:stretch>
                  </pic:blipFill>
                  <pic:spPr>
                    <a:xfrm>
                      <a:off x="0" y="0"/>
                      <a:ext cx="5234037" cy="3029784"/>
                    </a:xfrm>
                    <a:prstGeom prst="rect">
                      <a:avLst/>
                    </a:prstGeom>
                  </pic:spPr>
                </pic:pic>
              </a:graphicData>
            </a:graphic>
          </wp:inline>
        </w:drawing>
      </w:r>
    </w:p>
    <w:p w14:paraId="256F061C" w14:textId="603EBCA6" w:rsidR="004D055A" w:rsidRDefault="004D055A">
      <w:pPr>
        <w:rPr>
          <w:rFonts w:ascii="Source Sans Pro" w:hAnsi="Source Sans Pro"/>
        </w:rPr>
      </w:pPr>
      <w:r w:rsidRPr="004D055A">
        <w:rPr>
          <w:rFonts w:ascii="Source Sans Pro" w:hAnsi="Source Sans Pro"/>
          <w:noProof/>
        </w:rPr>
        <w:drawing>
          <wp:inline distT="0" distB="0" distL="0" distR="0" wp14:anchorId="61D81AD2" wp14:editId="781D8FE5">
            <wp:extent cx="5546845" cy="933450"/>
            <wp:effectExtent l="0" t="0" r="0" b="0"/>
            <wp:docPr id="143320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9085" name="Picture 1" descr="A screenshot of a computer&#10;&#10;Description automatically generated"/>
                    <pic:cNvPicPr/>
                  </pic:nvPicPr>
                  <pic:blipFill>
                    <a:blip r:embed="rId9"/>
                    <a:stretch>
                      <a:fillRect/>
                    </a:stretch>
                  </pic:blipFill>
                  <pic:spPr>
                    <a:xfrm>
                      <a:off x="0" y="0"/>
                      <a:ext cx="5550457" cy="934058"/>
                    </a:xfrm>
                    <a:prstGeom prst="rect">
                      <a:avLst/>
                    </a:prstGeom>
                  </pic:spPr>
                </pic:pic>
              </a:graphicData>
            </a:graphic>
          </wp:inline>
        </w:drawing>
      </w:r>
    </w:p>
    <w:p w14:paraId="12533CF0" w14:textId="3665229A" w:rsidR="009950C3" w:rsidRPr="004D055A" w:rsidRDefault="009950C3" w:rsidP="00DB4063">
      <w:pPr>
        <w:rPr>
          <w:b/>
          <w:bCs/>
          <w:sz w:val="36"/>
          <w:szCs w:val="36"/>
        </w:rPr>
      </w:pPr>
      <w:r w:rsidRPr="00DB4063">
        <w:rPr>
          <w:b/>
          <w:bCs/>
          <w:sz w:val="36"/>
          <w:szCs w:val="36"/>
          <w:highlight w:val="cyan"/>
        </w:rPr>
        <w:lastRenderedPageBreak/>
        <w:t>MHCA Medicare Workgroup Comments</w:t>
      </w:r>
      <w:r w:rsidR="00DB4063" w:rsidRPr="00DB4063">
        <w:rPr>
          <w:b/>
          <w:bCs/>
          <w:sz w:val="36"/>
          <w:szCs w:val="36"/>
          <w:highlight w:val="cyan"/>
        </w:rPr>
        <w:t>-Payment Provisions</w:t>
      </w:r>
    </w:p>
    <w:p w14:paraId="50F223FA" w14:textId="4CB594F1" w:rsidR="00DB4063" w:rsidRDefault="009950C3">
      <w:r>
        <w:t>-</w:t>
      </w:r>
      <w:r w:rsidR="00BE75FE">
        <w:t>D</w:t>
      </w:r>
      <w:r>
        <w:t>o you believe the cuts are</w:t>
      </w:r>
      <w:r w:rsidR="004D055A">
        <w:t xml:space="preserve"> not warranted</w:t>
      </w:r>
      <w:r w:rsidR="00BE75FE">
        <w:t xml:space="preserve"> –why?</w:t>
      </w:r>
      <w:r>
        <w:t xml:space="preserve"> </w:t>
      </w:r>
    </w:p>
    <w:p w14:paraId="42C02B53" w14:textId="77777777" w:rsidR="00BE75FE" w:rsidRDefault="009950C3">
      <w:r>
        <w:tab/>
        <w:t xml:space="preserve">*CMS’s reasoning- They believe overall, particularly therapy, visits have decreased for 30-day episodes (changes agencies have made since PDGM). Do we have agency data this is not the case? </w:t>
      </w:r>
    </w:p>
    <w:p w14:paraId="50A49C2E" w14:textId="7F2D3DC0" w:rsidR="009950C3" w:rsidRDefault="00BE75FE">
      <w:r>
        <w:t xml:space="preserve">Thoughts on other reasons for change that are not attributed to Behavioral adjustments made by agencies in response to change to PDGM?  </w:t>
      </w:r>
    </w:p>
    <w:p w14:paraId="755690EA" w14:textId="6F79F2FC" w:rsidR="00DB4063" w:rsidRDefault="00DB4063">
      <w:r>
        <w:t>-Comment on your agency’s expenses have increased since PDGM began</w:t>
      </w:r>
    </w:p>
    <w:p w14:paraId="4299E216" w14:textId="24832ED3" w:rsidR="00BE75FE" w:rsidRDefault="00DB4063" w:rsidP="00BE75FE">
      <w:r>
        <w:t xml:space="preserve">*Some thoughts on the first group discussion for the first two questions- </w:t>
      </w:r>
    </w:p>
    <w:p w14:paraId="5B06568B" w14:textId="77777777" w:rsidR="00BE75FE" w:rsidRDefault="00DB4063" w:rsidP="00BE75FE">
      <w:pPr>
        <w:pStyle w:val="ListParagraph"/>
        <w:numPr>
          <w:ilvl w:val="0"/>
          <w:numId w:val="4"/>
        </w:numPr>
      </w:pPr>
      <w:r>
        <w:t xml:space="preserve">More complex patients now that would have normally gone to post-acute facilities are being admitted to home </w:t>
      </w:r>
      <w:proofErr w:type="gramStart"/>
      <w:r>
        <w:t>care</w:t>
      </w:r>
      <w:proofErr w:type="gramEnd"/>
    </w:p>
    <w:p w14:paraId="582D7CFF" w14:textId="1938BB34" w:rsidR="00DB4063" w:rsidRDefault="00BE75FE" w:rsidP="00BE75FE">
      <w:pPr>
        <w:pStyle w:val="ListParagraph"/>
        <w:numPr>
          <w:ilvl w:val="0"/>
          <w:numId w:val="4"/>
        </w:numPr>
      </w:pPr>
      <w:r>
        <w:t xml:space="preserve">Increases in staffing costs (e.g. increases to recruit and retain staff, to remain competitive not only with other agencies, but other businesses as a whole; still have staff working below license to provide aide services due to inability to fill all aide positions), </w:t>
      </w:r>
      <w:r w:rsidR="00DB4063">
        <w:t>supply costs, regulatory costs (</w:t>
      </w:r>
      <w:proofErr w:type="gramStart"/>
      <w:r w:rsidR="00DB4063">
        <w:t>EVV</w:t>
      </w:r>
      <w:r>
        <w:t>,OASIS</w:t>
      </w:r>
      <w:proofErr w:type="gramEnd"/>
      <w:r>
        <w:t>-E</w:t>
      </w:r>
      <w:r w:rsidR="00DB4063">
        <w:t>)</w:t>
      </w:r>
    </w:p>
    <w:p w14:paraId="1E29A135" w14:textId="08E419A0" w:rsidR="00DB4063" w:rsidRDefault="00DB4063">
      <w:r>
        <w:tab/>
        <w:t>*</w:t>
      </w:r>
      <w:proofErr w:type="gramStart"/>
      <w:r>
        <w:t>use</w:t>
      </w:r>
      <w:proofErr w:type="gramEnd"/>
      <w:r>
        <w:t xml:space="preserve"> some data from MHCA 2022 proposed rule comment letter</w:t>
      </w:r>
      <w:r w:rsidR="0061309F">
        <w:t>. See URL below-</w:t>
      </w:r>
      <w:hyperlink r:id="rId10" w:history="1">
        <w:r w:rsidR="0061309F" w:rsidRPr="0061309F">
          <w:rPr>
            <w:rStyle w:val="Hyperlink"/>
          </w:rPr>
          <w:t>https://www.mnhomecare.org/resource/resmgr/cms/MHCA_Proposed_Rule_Comment_L.pdf</w:t>
        </w:r>
      </w:hyperlink>
    </w:p>
    <w:p w14:paraId="2A42791B" w14:textId="58C516F6" w:rsidR="009950C3" w:rsidRDefault="009950C3">
      <w:r>
        <w:t xml:space="preserve">-CMS has asked if this one-time cut would be easier vs multiple smaller cuts. </w:t>
      </w:r>
      <w:r w:rsidRPr="00BE75FE">
        <w:rPr>
          <w:highlight w:val="yellow"/>
        </w:rPr>
        <w:t>What is your position on this?</w:t>
      </w:r>
    </w:p>
    <w:p w14:paraId="5B74DF84" w14:textId="77777777" w:rsidR="006F184B" w:rsidRDefault="009950C3" w:rsidP="006F184B">
      <w:r>
        <w:t xml:space="preserve">-Any comments on the </w:t>
      </w:r>
      <w:r w:rsidR="005E0C22" w:rsidRPr="005E0C22">
        <w:t>recalibr</w:t>
      </w:r>
      <w:r w:rsidR="005E0C22">
        <w:t>ation of</w:t>
      </w:r>
      <w:r w:rsidR="005E0C22" w:rsidRPr="005E0C22">
        <w:t xml:space="preserve"> the 432 PDGM case-mix weights, LUPA thresholds, functional levels, and comorbidity adjustment subgroups</w:t>
      </w:r>
      <w:r w:rsidR="00BE75FE">
        <w:t>?</w:t>
      </w:r>
    </w:p>
    <w:p w14:paraId="49F80763" w14:textId="77777777" w:rsidR="006F184B" w:rsidRDefault="006F184B" w:rsidP="006F184B"/>
    <w:p w14:paraId="7A8CDD76" w14:textId="77777777" w:rsidR="006F184B" w:rsidRDefault="006F184B" w:rsidP="006F184B"/>
    <w:p w14:paraId="37BFB08F" w14:textId="0099DF12"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6F184B">
        <w:rPr>
          <w:rFonts w:ascii="Source Sans Pro" w:hAnsi="Source Sans Pro"/>
          <w:b/>
          <w:bCs/>
          <w:color w:val="17C1C1"/>
          <w:sz w:val="32"/>
          <w:szCs w:val="32"/>
        </w:rPr>
        <w:t xml:space="preserve">Home Health Quality Reporting </w:t>
      </w:r>
      <w:r w:rsidR="004D2AA4" w:rsidRPr="006F184B">
        <w:rPr>
          <w:rFonts w:ascii="Source Sans Pro" w:hAnsi="Source Sans Pro"/>
          <w:b/>
          <w:bCs/>
          <w:color w:val="17C1C1"/>
          <w:sz w:val="32"/>
          <w:szCs w:val="32"/>
        </w:rPr>
        <w:t>System</w:t>
      </w:r>
      <w:r w:rsidRPr="006F184B">
        <w:rPr>
          <w:rFonts w:ascii="Source Sans Pro" w:hAnsi="Source Sans Pro"/>
          <w:b/>
          <w:bCs/>
          <w:color w:val="17C1C1"/>
          <w:sz w:val="32"/>
          <w:szCs w:val="32"/>
        </w:rPr>
        <w:t xml:space="preserve"> </w:t>
      </w:r>
    </w:p>
    <w:p w14:paraId="37502E8A" w14:textId="78FF1385" w:rsidR="005E0C22" w:rsidRPr="004D055A" w:rsidRDefault="005E0C22" w:rsidP="005E0C22">
      <w:pPr>
        <w:rPr>
          <w:rFonts w:ascii="Source Sans Pro" w:hAnsi="Source Sans Pro"/>
        </w:rPr>
      </w:pPr>
      <w:r w:rsidRPr="004D055A">
        <w:rPr>
          <w:rFonts w:ascii="Source Sans Pro" w:hAnsi="Source Sans Pro"/>
        </w:rPr>
        <w:t xml:space="preserve">CMS is proposing </w:t>
      </w:r>
      <w:r w:rsidR="00BE75FE">
        <w:rPr>
          <w:rFonts w:ascii="Source Sans Pro" w:hAnsi="Source Sans Pro"/>
        </w:rPr>
        <w:t>several</w:t>
      </w:r>
      <w:r w:rsidRPr="004D055A">
        <w:rPr>
          <w:rFonts w:ascii="Source Sans Pro" w:hAnsi="Source Sans Pro"/>
        </w:rPr>
        <w:t xml:space="preserve"> changes to the HHQRS</w:t>
      </w:r>
      <w:r w:rsidR="00BE75FE">
        <w:rPr>
          <w:rFonts w:ascii="Source Sans Pro" w:hAnsi="Source Sans Pro"/>
        </w:rPr>
        <w:t>, including:</w:t>
      </w:r>
    </w:p>
    <w:p w14:paraId="1A16288C" w14:textId="31228EA5" w:rsidR="005E0C22" w:rsidRPr="004D055A" w:rsidRDefault="005E0C22" w:rsidP="005E0C22">
      <w:pPr>
        <w:rPr>
          <w:rFonts w:ascii="Source Sans Pro" w:hAnsi="Source Sans Pro"/>
          <w:b/>
          <w:bCs/>
          <w:color w:val="005450"/>
        </w:rPr>
      </w:pPr>
      <w:r w:rsidRPr="004D055A">
        <w:rPr>
          <w:rFonts w:ascii="Source Sans Pro" w:hAnsi="Source Sans Pro"/>
          <w:b/>
          <w:bCs/>
          <w:color w:val="005450"/>
        </w:rPr>
        <w:t>Add</w:t>
      </w:r>
      <w:r w:rsidR="00BE75FE">
        <w:rPr>
          <w:rFonts w:ascii="Source Sans Pro" w:hAnsi="Source Sans Pro"/>
          <w:b/>
          <w:bCs/>
          <w:color w:val="005450"/>
        </w:rPr>
        <w:t>ing</w:t>
      </w:r>
      <w:r w:rsidRPr="004D055A">
        <w:rPr>
          <w:rFonts w:ascii="Source Sans Pro" w:hAnsi="Source Sans Pro"/>
          <w:b/>
          <w:bCs/>
          <w:color w:val="005450"/>
        </w:rPr>
        <w:t>:</w:t>
      </w:r>
    </w:p>
    <w:p w14:paraId="5F1E301D" w14:textId="77777777" w:rsidR="005E0C22" w:rsidRPr="004D055A" w:rsidRDefault="005E0C22" w:rsidP="005E0C22">
      <w:pPr>
        <w:pStyle w:val="ListParagraph"/>
        <w:numPr>
          <w:ilvl w:val="0"/>
          <w:numId w:val="2"/>
        </w:numPr>
        <w:spacing w:after="0" w:line="240" w:lineRule="auto"/>
        <w:rPr>
          <w:rFonts w:ascii="Source Sans Pro" w:hAnsi="Source Sans Pro"/>
          <w:b/>
          <w:bCs/>
        </w:rPr>
      </w:pPr>
      <w:r w:rsidRPr="004D055A">
        <w:rPr>
          <w:rFonts w:ascii="Source Sans Pro" w:hAnsi="Source Sans Pro"/>
          <w:b/>
          <w:bCs/>
        </w:rPr>
        <w:t>COVID-19 Vaccine: Percent of Patients/Residents Who Are Up to Date</w:t>
      </w:r>
    </w:p>
    <w:p w14:paraId="2428BDA6" w14:textId="77777777" w:rsidR="005E0C22" w:rsidRPr="004D055A" w:rsidRDefault="005E0C22" w:rsidP="00BE75FE">
      <w:pPr>
        <w:pStyle w:val="ListParagraph"/>
        <w:numPr>
          <w:ilvl w:val="0"/>
          <w:numId w:val="2"/>
        </w:numPr>
        <w:spacing w:after="120" w:line="240" w:lineRule="auto"/>
        <w:rPr>
          <w:rFonts w:ascii="Source Sans Pro" w:hAnsi="Source Sans Pro"/>
        </w:rPr>
      </w:pPr>
      <w:r w:rsidRPr="004D055A">
        <w:rPr>
          <w:rFonts w:ascii="Source Sans Pro" w:hAnsi="Source Sans Pro"/>
          <w:b/>
          <w:bCs/>
        </w:rPr>
        <w:t>Functional Discharge Score (DC Function).</w:t>
      </w:r>
      <w:r w:rsidRPr="004D055A">
        <w:rPr>
          <w:rFonts w:ascii="Source Sans Pro" w:hAnsi="Source Sans Pro"/>
        </w:rPr>
        <w:t xml:space="preserve"> This assessment-based outcome measure evaluates functional status by calculating the percentage of home health patients who meet or exceed an expected discharge function score. Under this proposal, HHAs would no longer be required to report a Self-Care Discharge Goal (that is, GG0130, Column 2) or a Mobility Discharge Goal (that is, GG0170, Column 2) on the OASIS beginning with patients admitted on April 1, 2024.</w:t>
      </w:r>
    </w:p>
    <w:p w14:paraId="4F757148" w14:textId="77777777" w:rsidR="005E0C22" w:rsidRPr="004D055A" w:rsidRDefault="005E0C22" w:rsidP="005E0C22">
      <w:pPr>
        <w:rPr>
          <w:rFonts w:ascii="Source Sans Pro" w:hAnsi="Source Sans Pro"/>
        </w:rPr>
      </w:pPr>
      <w:r w:rsidRPr="004D055A">
        <w:rPr>
          <w:rFonts w:ascii="Source Sans Pro" w:hAnsi="Source Sans Pro"/>
        </w:rPr>
        <w:lastRenderedPageBreak/>
        <w:t>If both additions are finalized as proposed, HHAs would be required to report these OASIS assessment data beginning with patients discharged between January 1, 2024, and March 31, 2024, for the CY 2025 HH QRP.</w:t>
      </w:r>
    </w:p>
    <w:p w14:paraId="6787B963" w14:textId="4A058C7E" w:rsidR="005E0C22" w:rsidRPr="004D055A" w:rsidRDefault="005E0C22" w:rsidP="005E0C22">
      <w:pPr>
        <w:rPr>
          <w:rFonts w:ascii="Source Sans Pro" w:hAnsi="Source Sans Pro"/>
          <w:b/>
          <w:bCs/>
          <w:color w:val="005450"/>
        </w:rPr>
      </w:pPr>
      <w:r w:rsidRPr="004D055A">
        <w:rPr>
          <w:rFonts w:ascii="Source Sans Pro" w:hAnsi="Source Sans Pro"/>
          <w:b/>
          <w:bCs/>
          <w:color w:val="005450"/>
        </w:rPr>
        <w:t>Remov</w:t>
      </w:r>
      <w:r w:rsidR="00BE75FE">
        <w:rPr>
          <w:rFonts w:ascii="Source Sans Pro" w:hAnsi="Source Sans Pro"/>
          <w:b/>
          <w:bCs/>
          <w:color w:val="005450"/>
        </w:rPr>
        <w:t>ing</w:t>
      </w:r>
      <w:r w:rsidRPr="004D055A">
        <w:rPr>
          <w:rFonts w:ascii="Source Sans Pro" w:hAnsi="Source Sans Pro"/>
          <w:b/>
          <w:bCs/>
          <w:color w:val="005450"/>
        </w:rPr>
        <w:t xml:space="preserve">: </w:t>
      </w:r>
    </w:p>
    <w:p w14:paraId="5CDFE9D3"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b/>
          <w:bCs/>
        </w:rPr>
        <w:t>Application of Percent of Long-Term Care Hospital Patients with an Admission and Discharge Functional Assessment and a Care Plan That Addresses Function.</w:t>
      </w:r>
      <w:r w:rsidRPr="004D055A">
        <w:rPr>
          <w:rFonts w:ascii="Source Sans Pro" w:hAnsi="Source Sans Pro"/>
        </w:rPr>
        <w:t xml:space="preserve"> This proposed removal is due to the Functional Discharge Score addition. </w:t>
      </w:r>
    </w:p>
    <w:p w14:paraId="151A1BD9"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M0110: Episode Timing</w:t>
      </w:r>
    </w:p>
    <w:p w14:paraId="25AAFF4B"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M2220: Therapy Needs</w:t>
      </w:r>
    </w:p>
    <w:p w14:paraId="2C10A136" w14:textId="77777777" w:rsidR="005E0C22" w:rsidRPr="004D055A" w:rsidRDefault="005E0C22" w:rsidP="005E0C22">
      <w:pPr>
        <w:spacing w:after="0" w:line="240" w:lineRule="auto"/>
        <w:ind w:left="720"/>
        <w:rPr>
          <w:rFonts w:ascii="Source Sans Pro" w:hAnsi="Source Sans Pro"/>
          <w:b/>
          <w:bCs/>
        </w:rPr>
      </w:pPr>
    </w:p>
    <w:p w14:paraId="15055A9A" w14:textId="77777777" w:rsidR="005E0C22" w:rsidRPr="004D055A" w:rsidRDefault="005E0C22" w:rsidP="005E0C22">
      <w:pPr>
        <w:spacing w:after="0"/>
        <w:rPr>
          <w:rFonts w:ascii="Source Sans Pro" w:hAnsi="Source Sans Pro"/>
        </w:rPr>
      </w:pPr>
      <w:r w:rsidRPr="004D055A">
        <w:rPr>
          <w:rFonts w:ascii="Source Sans Pro" w:hAnsi="Source Sans Pro"/>
        </w:rPr>
        <w:t xml:space="preserve">If all removal items are finalized as proposed, this would be effective January 1, 2025.  </w:t>
      </w:r>
    </w:p>
    <w:p w14:paraId="09719273" w14:textId="77777777" w:rsidR="005E0C22" w:rsidRPr="004D055A" w:rsidRDefault="005E0C22" w:rsidP="005E0C22">
      <w:pPr>
        <w:spacing w:after="0"/>
        <w:rPr>
          <w:rFonts w:ascii="Source Sans Pro" w:hAnsi="Source Sans Pro"/>
        </w:rPr>
      </w:pPr>
    </w:p>
    <w:p w14:paraId="650C0AB6" w14:textId="77777777" w:rsidR="005E0C22" w:rsidRPr="004D055A" w:rsidRDefault="005E0C22" w:rsidP="005E0C22">
      <w:pPr>
        <w:rPr>
          <w:rFonts w:ascii="Source Sans Pro" w:hAnsi="Source Sans Pro"/>
        </w:rPr>
      </w:pPr>
      <w:r w:rsidRPr="004D055A">
        <w:rPr>
          <w:rFonts w:ascii="Source Sans Pro" w:hAnsi="Source Sans Pro"/>
        </w:rPr>
        <w:t xml:space="preserve">In addition to the changes above, </w:t>
      </w:r>
      <w:r w:rsidRPr="004D055A">
        <w:rPr>
          <w:rFonts w:ascii="Source Sans Pro" w:hAnsi="Source Sans Pro"/>
          <w:b/>
          <w:bCs/>
        </w:rPr>
        <w:t>CMS is also proposing the public reporting of four measures</w:t>
      </w:r>
      <w:r w:rsidRPr="004D055A">
        <w:rPr>
          <w:rFonts w:ascii="Source Sans Pro" w:hAnsi="Source Sans Pro"/>
        </w:rPr>
        <w:t>:</w:t>
      </w:r>
    </w:p>
    <w:p w14:paraId="1A03C628"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noProof/>
        </w:rPr>
        <mc:AlternateContent>
          <mc:Choice Requires="wpi">
            <w:drawing>
              <wp:anchor distT="0" distB="0" distL="114300" distR="114300" simplePos="0" relativeHeight="251659264" behindDoc="0" locked="0" layoutInCell="1" allowOverlap="1" wp14:anchorId="309B11D2" wp14:editId="48078532">
                <wp:simplePos x="0" y="0"/>
                <wp:positionH relativeFrom="column">
                  <wp:posOffset>3646281</wp:posOffset>
                </wp:positionH>
                <wp:positionV relativeFrom="paragraph">
                  <wp:posOffset>41297</wp:posOffset>
                </wp:positionV>
                <wp:extent cx="360" cy="360"/>
                <wp:effectExtent l="38100" t="38100" r="57150" b="57150"/>
                <wp:wrapNone/>
                <wp:docPr id="1233209328"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1B35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6.4pt;margin-top:2.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CQi4S7wBAABdBAAAEAAAAAAAAAAAAAAAAADQAwAAZHJzL2luay9pbmsxLnht&#10;bFBLAQItABQABgAIAAAAIQDkDDQk3wAAAAcBAAAPAAAAAAAAAAAAAAAAALoFAABkcnMvZG93bnJl&#10;di54bWxQSwECLQAUAAYACAAAACEAeRi8nb8AAAAhAQAAGQAAAAAAAAAAAAAAAADGBgAAZHJzL19y&#10;ZWxzL2Uyb0RvYy54bWwucmVsc1BLBQYAAAAABgAGAHgBAAC8BwAAAAA=&#10;">
                <v:imagedata r:id="rId12" o:title=""/>
              </v:shape>
            </w:pict>
          </mc:Fallback>
        </mc:AlternateContent>
      </w:r>
      <w:r w:rsidRPr="004D055A">
        <w:rPr>
          <w:rFonts w:ascii="Source Sans Pro" w:hAnsi="Source Sans Pro"/>
        </w:rPr>
        <w:t>Discharge Function</w:t>
      </w:r>
    </w:p>
    <w:p w14:paraId="1DD59E70"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rPr>
        <w:t>Transfer of Health (TOH) Information to the Provider—Post-Acute Care (PAC) Measure (TOH-Provider)</w:t>
      </w:r>
    </w:p>
    <w:p w14:paraId="272BE11E"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Transfer of Health (TOH) Information to the Patient—Post-Acute Care (PAC)</w:t>
      </w:r>
    </w:p>
    <w:p w14:paraId="5967F8BD"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COVID-19 Vaccine:  Percent of Patients/Residents Who Are Up to Date.</w:t>
      </w:r>
    </w:p>
    <w:p w14:paraId="04BE5763" w14:textId="77777777" w:rsidR="005E0C22" w:rsidRPr="004D055A" w:rsidRDefault="005E0C22" w:rsidP="005E0C22">
      <w:pPr>
        <w:spacing w:after="0" w:line="240" w:lineRule="auto"/>
        <w:ind w:left="720"/>
        <w:rPr>
          <w:rFonts w:ascii="Source Sans Pro" w:hAnsi="Source Sans Pro"/>
        </w:rPr>
      </w:pPr>
    </w:p>
    <w:p w14:paraId="4500D4EA" w14:textId="06E129D1" w:rsidR="005E0C22" w:rsidRPr="004D055A" w:rsidRDefault="005E0C22" w:rsidP="005E0C22">
      <w:pPr>
        <w:rPr>
          <w:rFonts w:ascii="Source Sans Pro" w:hAnsi="Source Sans Pro"/>
        </w:rPr>
      </w:pPr>
      <w:r w:rsidRPr="004D055A">
        <w:rPr>
          <w:rFonts w:ascii="Source Sans Pro" w:hAnsi="Source Sans Pro"/>
        </w:rPr>
        <w:t>CMS would begin displaying data with the January 2025 Care Compare refresh or as soon as technically feasible.</w:t>
      </w:r>
    </w:p>
    <w:p w14:paraId="2DF30F5E" w14:textId="77777777" w:rsidR="00F36E3C" w:rsidRDefault="005E0C22" w:rsidP="005E0C22">
      <w:pPr>
        <w:rPr>
          <w:rFonts w:ascii="Source Sans Pro" w:hAnsi="Source Sans Pro"/>
          <w:sz w:val="24"/>
          <w:szCs w:val="24"/>
        </w:rPr>
      </w:pPr>
      <w:r w:rsidRPr="005E0C22">
        <w:rPr>
          <w:rFonts w:ascii="Source Sans Pro" w:hAnsi="Source Sans Pro"/>
          <w:sz w:val="24"/>
          <w:szCs w:val="24"/>
          <w:highlight w:val="yellow"/>
        </w:rPr>
        <w:t>Additional information on Functional Discharge Score:</w:t>
      </w:r>
    </w:p>
    <w:p w14:paraId="6C6590DD" w14:textId="77777777" w:rsidR="00F36E3C" w:rsidRPr="004D055A" w:rsidRDefault="00F36E3C" w:rsidP="005E0C22">
      <w:pPr>
        <w:rPr>
          <w:rFonts w:ascii="Source Sans Pro" w:hAnsi="Source Sans Pro"/>
          <w:u w:val="single"/>
        </w:rPr>
      </w:pPr>
      <w:r w:rsidRPr="004D055A">
        <w:rPr>
          <w:rFonts w:ascii="Source Sans Pro" w:hAnsi="Source Sans Pro"/>
          <w:u w:val="single"/>
        </w:rPr>
        <w:t xml:space="preserve">CMS reasoning behind wanting this measure- </w:t>
      </w:r>
    </w:p>
    <w:p w14:paraId="4517EE6C" w14:textId="2236601C" w:rsidR="00F36E3C" w:rsidRPr="004D055A" w:rsidRDefault="00F36E3C" w:rsidP="005E0C22">
      <w:pPr>
        <w:rPr>
          <w:rFonts w:ascii="Source Sans Pro" w:hAnsi="Source Sans Pro"/>
        </w:rPr>
      </w:pPr>
      <w:r w:rsidRPr="004D055A">
        <w:t>Measuring functional status of HH patients can provide valuable information about an HHA’s quality of care. A patient’s functional status is associated with institutionalization, higher risk of falls and falls-related hip fracture and death greater risk of undernutrition, higher emergency department admissions, higher risk of readmissions following home care, and higher prevalence of hypertension and diabetes. Predictors of poorer recovery in function include greater age, complications after hospital discharge, and residence in a nursing home. Understanding factors associated with poorer functional recovery facilitates the ability to estimate expected functional outcome recovery for patients, based on their personal characteristics.</w:t>
      </w:r>
    </w:p>
    <w:p w14:paraId="577724C8" w14:textId="2ED496D2" w:rsidR="00F36E3C" w:rsidRPr="004D055A" w:rsidRDefault="00F36E3C" w:rsidP="005E0C22">
      <w:pPr>
        <w:rPr>
          <w:rFonts w:ascii="Source Sans Pro" w:hAnsi="Source Sans Pro"/>
        </w:rPr>
      </w:pPr>
      <w:r w:rsidRPr="004D055A">
        <w:t>Assessing functional status as a health outcome in HH can thus provide valuable information in determining treatment decisions throughout the care continuum, the need for therapy service, and discharge planning as well as provide information to consumers about the effectiveness of the care delivered.</w:t>
      </w:r>
    </w:p>
    <w:p w14:paraId="2BEEC27A" w14:textId="0997A5E1" w:rsidR="00F36E3C" w:rsidRPr="004D055A" w:rsidRDefault="00F36E3C" w:rsidP="005E0C22">
      <w:pPr>
        <w:rPr>
          <w:rFonts w:ascii="Source Sans Pro" w:hAnsi="Source Sans Pro"/>
          <w:sz w:val="24"/>
          <w:szCs w:val="24"/>
          <w:u w:val="single"/>
        </w:rPr>
      </w:pPr>
      <w:r w:rsidRPr="004D055A">
        <w:rPr>
          <w:rFonts w:ascii="Source Sans Pro" w:hAnsi="Source Sans Pro"/>
          <w:sz w:val="24"/>
          <w:szCs w:val="24"/>
          <w:u w:val="single"/>
        </w:rPr>
        <w:t>How this would be calculated</w:t>
      </w:r>
    </w:p>
    <w:p w14:paraId="0E3E5AA1" w14:textId="06858372" w:rsidR="00F36E3C" w:rsidRDefault="00F36E3C" w:rsidP="005E0C22">
      <w:r>
        <w:t>This measure adds no additional provider burden since it would be calculated using data from the OASIS that are already reported to the Medicare program for payment and quality reporting purposes</w:t>
      </w:r>
      <w:r w:rsidR="004D055A">
        <w:t>.</w:t>
      </w:r>
    </w:p>
    <w:p w14:paraId="79C35879" w14:textId="77777777" w:rsidR="004D055A" w:rsidRDefault="004D055A" w:rsidP="005E0C22">
      <w:pPr>
        <w:rPr>
          <w:rFonts w:ascii="Source Sans Pro" w:hAnsi="Source Sans Pro"/>
          <w:sz w:val="24"/>
          <w:szCs w:val="24"/>
        </w:rPr>
      </w:pPr>
    </w:p>
    <w:p w14:paraId="383F06B5" w14:textId="078E0B8C" w:rsidR="004D055A" w:rsidRPr="004D055A" w:rsidRDefault="004D055A" w:rsidP="005E0C22">
      <w:pPr>
        <w:rPr>
          <w:rFonts w:ascii="Source Sans Pro" w:hAnsi="Source Sans Pro"/>
          <w:sz w:val="24"/>
          <w:szCs w:val="24"/>
          <w:u w:val="single"/>
        </w:rPr>
      </w:pPr>
      <w:r w:rsidRPr="004D055A">
        <w:rPr>
          <w:rFonts w:ascii="Source Sans Pro" w:hAnsi="Source Sans Pro"/>
          <w:sz w:val="24"/>
          <w:szCs w:val="24"/>
          <w:u w:val="single"/>
        </w:rPr>
        <w:lastRenderedPageBreak/>
        <w:t xml:space="preserve">Additional CMS document on discharge functional score- </w:t>
      </w:r>
    </w:p>
    <w:p w14:paraId="039D18B4" w14:textId="08F44B3B" w:rsidR="004D055A" w:rsidRDefault="00744B92" w:rsidP="005E0C22">
      <w:hyperlink r:id="rId13" w:history="1">
        <w:r w:rsidR="004D055A" w:rsidRPr="004D055A">
          <w:rPr>
            <w:color w:val="0000FF"/>
            <w:u w:val="single"/>
          </w:rPr>
          <w:t>HH QRP Discharge Function Score Measure – Technical Report (cms.gov)</w:t>
        </w:r>
      </w:hyperlink>
    </w:p>
    <w:p w14:paraId="0D7337E8" w14:textId="77777777" w:rsidR="004D055A" w:rsidRDefault="004D055A" w:rsidP="005E0C22">
      <w:pPr>
        <w:rPr>
          <w:rFonts w:ascii="Source Sans Pro" w:hAnsi="Source Sans Pro"/>
          <w:sz w:val="24"/>
          <w:szCs w:val="24"/>
        </w:rPr>
      </w:pPr>
    </w:p>
    <w:p w14:paraId="555118E8" w14:textId="1468A0A5" w:rsidR="00DB4063" w:rsidRDefault="00DB4063" w:rsidP="00DB4063">
      <w:pPr>
        <w:rPr>
          <w:b/>
          <w:bCs/>
          <w:sz w:val="36"/>
          <w:szCs w:val="36"/>
        </w:rPr>
      </w:pPr>
      <w:r w:rsidRPr="00DB4063">
        <w:rPr>
          <w:b/>
          <w:bCs/>
          <w:sz w:val="36"/>
          <w:szCs w:val="36"/>
          <w:highlight w:val="cyan"/>
        </w:rPr>
        <w:t>MHCA Medicare Workgroup Comments-Quality Reporting</w:t>
      </w:r>
    </w:p>
    <w:p w14:paraId="59E8DDC3" w14:textId="77F40AA5" w:rsidR="00DB4063" w:rsidRDefault="00DB4063" w:rsidP="00DB4063">
      <w:r>
        <w:t>-Comments on Covid addition</w:t>
      </w:r>
    </w:p>
    <w:p w14:paraId="5DBD7317" w14:textId="256ABC41" w:rsidR="00DB4063" w:rsidRDefault="00DB4063" w:rsidP="00DB4063">
      <w:r>
        <w:tab/>
        <w:t xml:space="preserve">*Initial group thoughts: up-to-date definition is hard to keep track of. </w:t>
      </w:r>
      <w:r w:rsidR="004D2AA4">
        <w:t>Should be responsibility of primary care providers, not home health</w:t>
      </w:r>
      <w:r>
        <w:t xml:space="preserve">, MICC tracks this, we </w:t>
      </w:r>
      <w:proofErr w:type="gramStart"/>
      <w:r>
        <w:t>don’t</w:t>
      </w:r>
      <w:proofErr w:type="gramEnd"/>
      <w:r>
        <w:t xml:space="preserve"> need this. What </w:t>
      </w:r>
      <w:r w:rsidR="004D2AA4">
        <w:t>is CMS going</w:t>
      </w:r>
      <w:r>
        <w:t xml:space="preserve"> to do with this information?</w:t>
      </w:r>
      <w:r w:rsidR="004D2AA4">
        <w:t xml:space="preserve"> How is this meaningful?  State already tracks COVID vaccination in MIIC system.  Duplicating work already done at state level; would be time consuming to track accurately, would only capture data for portion of population.  Who is responsible for determining definition of </w:t>
      </w:r>
      <w:proofErr w:type="gramStart"/>
      <w:r w:rsidR="004D2AA4">
        <w:t>up-to-date</w:t>
      </w:r>
      <w:proofErr w:type="gramEnd"/>
      <w:r w:rsidR="004D2AA4">
        <w:t>?  Would this be self-reported or does this have to be verified?  To many variables to obtain reliable data from patients/caregivers based on limited definitions currently available.  Would increase staff time and cost, with no identified purpose or benefit.</w:t>
      </w:r>
    </w:p>
    <w:p w14:paraId="71EE0D82" w14:textId="1B12DFFE" w:rsidR="00DB4063" w:rsidRDefault="00DB4063" w:rsidP="00DB4063">
      <w:r>
        <w:t>-Comments on Discharge functional scor</w:t>
      </w:r>
      <w:r w:rsidR="004D2AA4">
        <w:t xml:space="preserve">e?  </w:t>
      </w:r>
    </w:p>
    <w:p w14:paraId="2AEDD4CE" w14:textId="0D53B3B6" w:rsidR="0061309F" w:rsidRDefault="00DB4063" w:rsidP="00DB4063">
      <w:r>
        <w:t>-</w:t>
      </w:r>
      <w:r w:rsidR="004D2AA4">
        <w:t>Any concerns or o</w:t>
      </w:r>
      <w:r w:rsidR="0061309F">
        <w:t xml:space="preserve">ther comments </w:t>
      </w:r>
      <w:r w:rsidR="004D2AA4">
        <w:t>regarding</w:t>
      </w:r>
      <w:r w:rsidR="0061309F">
        <w:t xml:space="preserve"> removals/additions</w:t>
      </w:r>
      <w:r w:rsidR="004D2AA4">
        <w:t>?</w:t>
      </w:r>
    </w:p>
    <w:p w14:paraId="344F3DC3" w14:textId="77777777" w:rsidR="004D2AA4" w:rsidRPr="004D2AA4" w:rsidRDefault="004D2AA4" w:rsidP="004D2AA4">
      <w:pPr>
        <w:rPr>
          <w:rFonts w:ascii="Source Sans Pro" w:hAnsi="Source Sans Pro"/>
          <w:sz w:val="24"/>
          <w:szCs w:val="24"/>
        </w:rPr>
      </w:pPr>
      <w:r w:rsidRPr="004D2AA4">
        <w:rPr>
          <w:rFonts w:ascii="Source Sans Pro" w:hAnsi="Source Sans Pro"/>
          <w:sz w:val="24"/>
          <w:szCs w:val="24"/>
        </w:rPr>
        <w:t xml:space="preserve">Initial group thoughts </w:t>
      </w:r>
    </w:p>
    <w:p w14:paraId="617DCF6A" w14:textId="77777777" w:rsidR="004D2AA4" w:rsidRDefault="004D2AA4" w:rsidP="004D2AA4">
      <w:pPr>
        <w:pStyle w:val="ListParagraph"/>
        <w:numPr>
          <w:ilvl w:val="0"/>
          <w:numId w:val="6"/>
        </w:numPr>
        <w:rPr>
          <w:rFonts w:ascii="Source Sans Pro" w:hAnsi="Source Sans Pro"/>
          <w:sz w:val="24"/>
          <w:szCs w:val="24"/>
        </w:rPr>
      </w:pPr>
      <w:r>
        <w:rPr>
          <w:rFonts w:ascii="Source Sans Pro" w:hAnsi="Source Sans Pro"/>
          <w:sz w:val="24"/>
          <w:szCs w:val="24"/>
        </w:rPr>
        <w:t xml:space="preserve">no concerns with removing episode timing and therapy need OASIS items as they are no longer used for </w:t>
      </w:r>
      <w:proofErr w:type="gramStart"/>
      <w:r>
        <w:rPr>
          <w:rFonts w:ascii="Source Sans Pro" w:hAnsi="Source Sans Pro"/>
          <w:sz w:val="24"/>
          <w:szCs w:val="24"/>
        </w:rPr>
        <w:t>anything</w:t>
      </w:r>
      <w:proofErr w:type="gramEnd"/>
    </w:p>
    <w:p w14:paraId="4E3535B8" w14:textId="6AC548DF" w:rsidR="004D2AA4" w:rsidRPr="004D2AA4" w:rsidRDefault="004D2AA4" w:rsidP="004D2AA4">
      <w:pPr>
        <w:pStyle w:val="ListParagraph"/>
        <w:numPr>
          <w:ilvl w:val="0"/>
          <w:numId w:val="6"/>
        </w:numPr>
        <w:rPr>
          <w:rFonts w:ascii="Source Sans Pro" w:hAnsi="Source Sans Pro"/>
          <w:sz w:val="24"/>
          <w:szCs w:val="24"/>
        </w:rPr>
      </w:pPr>
      <w:r w:rsidRPr="004D2AA4">
        <w:rPr>
          <w:rFonts w:ascii="Source Sans Pro" w:hAnsi="Source Sans Pro"/>
          <w:sz w:val="24"/>
          <w:szCs w:val="24"/>
        </w:rPr>
        <w:t>question</w:t>
      </w:r>
      <w:r>
        <w:rPr>
          <w:rFonts w:ascii="Source Sans Pro" w:hAnsi="Source Sans Pro"/>
          <w:sz w:val="24"/>
          <w:szCs w:val="24"/>
        </w:rPr>
        <w:t xml:space="preserve"> the</w:t>
      </w:r>
      <w:r w:rsidRPr="004D2AA4">
        <w:rPr>
          <w:rFonts w:ascii="Source Sans Pro" w:hAnsi="Source Sans Pro"/>
          <w:sz w:val="24"/>
          <w:szCs w:val="24"/>
        </w:rPr>
        <w:t xml:space="preserve"> value of </w:t>
      </w:r>
      <w:proofErr w:type="spellStart"/>
      <w:r w:rsidRPr="004D2AA4">
        <w:rPr>
          <w:rFonts w:ascii="Source Sans Pro" w:hAnsi="Source Sans Pro"/>
          <w:sz w:val="24"/>
          <w:szCs w:val="24"/>
        </w:rPr>
        <w:t>publically</w:t>
      </w:r>
      <w:proofErr w:type="spellEnd"/>
      <w:r w:rsidRPr="004D2AA4">
        <w:rPr>
          <w:rFonts w:ascii="Source Sans Pro" w:hAnsi="Source Sans Pro"/>
          <w:sz w:val="24"/>
          <w:szCs w:val="24"/>
        </w:rPr>
        <w:t xml:space="preserve"> reporting the </w:t>
      </w:r>
      <w:r w:rsidRPr="004D2AA4">
        <w:rPr>
          <w:rFonts w:ascii="Source Sans Pro" w:hAnsi="Source Sans Pro"/>
        </w:rPr>
        <w:t>Transfer of Health (TOH) Information and COVID-19 vaccine measures</w:t>
      </w:r>
      <w:r>
        <w:rPr>
          <w:rFonts w:ascii="Source Sans Pro" w:hAnsi="Source Sans Pro"/>
        </w:rPr>
        <w:t xml:space="preserve"> – how </w:t>
      </w:r>
      <w:proofErr w:type="gramStart"/>
      <w:r>
        <w:rPr>
          <w:rFonts w:ascii="Source Sans Pro" w:hAnsi="Source Sans Pro"/>
        </w:rPr>
        <w:t>does this impact consumer decision making</w:t>
      </w:r>
      <w:proofErr w:type="gramEnd"/>
      <w:r>
        <w:rPr>
          <w:rFonts w:ascii="Source Sans Pro" w:hAnsi="Source Sans Pro"/>
        </w:rPr>
        <w:t xml:space="preserve"> regarding home care services</w:t>
      </w:r>
    </w:p>
    <w:p w14:paraId="72106704" w14:textId="77777777" w:rsidR="006F184B" w:rsidRDefault="004D2AA4" w:rsidP="006F184B">
      <w:pPr>
        <w:rPr>
          <w:rFonts w:ascii="Source Sans Pro" w:hAnsi="Source Sans Pro"/>
          <w:sz w:val="24"/>
          <w:szCs w:val="24"/>
        </w:rPr>
      </w:pPr>
      <w:r>
        <w:rPr>
          <w:rFonts w:ascii="Source Sans Pro" w:hAnsi="Source Sans Pro"/>
          <w:sz w:val="24"/>
          <w:szCs w:val="24"/>
        </w:rPr>
        <w:t>Other comments regarding QRS:</w:t>
      </w:r>
    </w:p>
    <w:p w14:paraId="75D2A8B5" w14:textId="77777777" w:rsidR="006F184B" w:rsidRDefault="006F184B" w:rsidP="006F184B">
      <w:pPr>
        <w:rPr>
          <w:rFonts w:ascii="Source Sans Pro" w:hAnsi="Source Sans Pro"/>
          <w:sz w:val="24"/>
          <w:szCs w:val="24"/>
        </w:rPr>
      </w:pPr>
    </w:p>
    <w:p w14:paraId="4AF85457" w14:textId="77777777" w:rsidR="006F184B" w:rsidRDefault="006F184B" w:rsidP="006F184B">
      <w:pPr>
        <w:rPr>
          <w:rFonts w:ascii="Source Sans Pro" w:hAnsi="Source Sans Pro"/>
          <w:sz w:val="24"/>
          <w:szCs w:val="24"/>
        </w:rPr>
      </w:pPr>
    </w:p>
    <w:p w14:paraId="29ACB5D0" w14:textId="1A88D9C5"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b/>
          <w:bCs/>
          <w:color w:val="00B0F0"/>
          <w:sz w:val="32"/>
          <w:szCs w:val="32"/>
        </w:rPr>
      </w:pPr>
      <w:r w:rsidRPr="006F184B">
        <w:rPr>
          <w:rFonts w:ascii="Source Sans Pro" w:hAnsi="Source Sans Pro"/>
          <w:b/>
          <w:bCs/>
          <w:color w:val="17C1C1"/>
          <w:sz w:val="32"/>
          <w:szCs w:val="32"/>
        </w:rPr>
        <w:t>Home Health Value-Based Purchasing</w:t>
      </w:r>
    </w:p>
    <w:p w14:paraId="1FC630FD"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CMS is proposing to remove five measures they finalized in the CY 2022 final rule. These measures are:</w:t>
      </w:r>
    </w:p>
    <w:p w14:paraId="11522AD6"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Discharged to Community (DTC)</w:t>
      </w:r>
    </w:p>
    <w:p w14:paraId="18420DD0"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Self-Care (TNC Self-Care)</w:t>
      </w:r>
    </w:p>
    <w:p w14:paraId="3918B5A3"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Mobility (TBC Mobility)</w:t>
      </w:r>
    </w:p>
    <w:p w14:paraId="03FCF63A"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Acute Care Hospitalization During the First 60 Days of Home Health Use (ACH)</w:t>
      </w:r>
    </w:p>
    <w:p w14:paraId="5300C39D" w14:textId="59250E81" w:rsidR="005E0C22"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lastRenderedPageBreak/>
        <w:t>Claims-based Emergency Department Use without Hospitalization During the First 60 days of Home Health (ED Use)</w:t>
      </w:r>
    </w:p>
    <w:p w14:paraId="0B7BB824" w14:textId="77777777" w:rsidR="005E0C22" w:rsidRPr="005E0C22" w:rsidRDefault="005E0C22" w:rsidP="005E0C22">
      <w:pPr>
        <w:pStyle w:val="ListParagraph"/>
        <w:numPr>
          <w:ilvl w:val="0"/>
          <w:numId w:val="1"/>
        </w:numPr>
        <w:spacing w:after="0" w:line="240" w:lineRule="auto"/>
        <w:rPr>
          <w:rFonts w:ascii="Source Sans Pro" w:hAnsi="Source Sans Pro"/>
          <w:sz w:val="24"/>
          <w:szCs w:val="24"/>
        </w:rPr>
      </w:pPr>
    </w:p>
    <w:p w14:paraId="5F5D4A4E"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The proposal includes replacing the above five measures with three additions:</w:t>
      </w:r>
    </w:p>
    <w:p w14:paraId="18F87E3C"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 xml:space="preserve">Claims-based Discharge to Community-Post Acute Care (DTC-PAC) Measure for Home Health Agencies </w:t>
      </w:r>
    </w:p>
    <w:p w14:paraId="100F8CDB"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 Functional Score (DC Function)</w:t>
      </w:r>
    </w:p>
    <w:p w14:paraId="3F9B64DB" w14:textId="77777777" w:rsidR="005E0C22" w:rsidRDefault="005E0C22" w:rsidP="005E0C22">
      <w:pPr>
        <w:pStyle w:val="ListParagraph"/>
        <w:numPr>
          <w:ilvl w:val="0"/>
          <w:numId w:val="1"/>
        </w:numPr>
        <w:spacing w:after="0" w:line="240" w:lineRule="auto"/>
        <w:rPr>
          <w:rFonts w:ascii="Source Sans Pro" w:hAnsi="Source Sans Pro"/>
        </w:rPr>
      </w:pPr>
      <w:r w:rsidRPr="00F6402A">
        <w:rPr>
          <w:rFonts w:ascii="Source Sans Pro" w:hAnsi="Source Sans Pro"/>
        </w:rPr>
        <w:t xml:space="preserve">Claims-based Home Health Within-Stay Potentially Preventable Hospitalization (PPH) measure. </w:t>
      </w:r>
    </w:p>
    <w:p w14:paraId="6551C616" w14:textId="5D5DBC74" w:rsidR="0054506A" w:rsidRPr="0054506A" w:rsidRDefault="0054506A" w:rsidP="0054506A">
      <w:pPr>
        <w:spacing w:after="0" w:line="240" w:lineRule="auto"/>
        <w:rPr>
          <w:rFonts w:ascii="Source Sans Pro" w:hAnsi="Source Sans Pro"/>
        </w:rPr>
      </w:pPr>
      <w:r w:rsidRPr="0054506A">
        <w:rPr>
          <w:rFonts w:ascii="Source Sans Pro" w:hAnsi="Source Sans Pro"/>
          <w:highlight w:val="yellow"/>
        </w:rPr>
        <w:t>*More information on the PPH measure is here</w:t>
      </w:r>
      <w:r>
        <w:rPr>
          <w:rFonts w:ascii="Source Sans Pro" w:hAnsi="Source Sans Pro"/>
        </w:rPr>
        <w:t xml:space="preserve"> </w:t>
      </w:r>
      <w:hyperlink r:id="rId14" w:history="1">
        <w:r w:rsidRPr="0054506A">
          <w:rPr>
            <w:color w:val="0000FF"/>
            <w:u w:val="single"/>
          </w:rPr>
          <w:t>Specifications for the Home Health Within-Stay Potentially Preventable Hospitalization Measure for the Home Health Quality Reporting Program (cms.gov)</w:t>
        </w:r>
      </w:hyperlink>
    </w:p>
    <w:p w14:paraId="47790158" w14:textId="77777777" w:rsidR="005E0C22" w:rsidRPr="00952104" w:rsidRDefault="005E0C22" w:rsidP="005E0C22">
      <w:pPr>
        <w:spacing w:after="0" w:line="240" w:lineRule="auto"/>
        <w:ind w:left="720"/>
        <w:rPr>
          <w:rFonts w:ascii="Source Sans Pro" w:hAnsi="Source Sans Pro"/>
          <w:sz w:val="24"/>
          <w:szCs w:val="24"/>
        </w:rPr>
      </w:pPr>
    </w:p>
    <w:p w14:paraId="08357A5E" w14:textId="004490C2" w:rsidR="005E0C22" w:rsidRDefault="005E0C22" w:rsidP="005E0C22">
      <w:pPr>
        <w:rPr>
          <w:rFonts w:ascii="Source Sans Pro" w:hAnsi="Source Sans Pro"/>
          <w:sz w:val="24"/>
          <w:szCs w:val="24"/>
        </w:rPr>
      </w:pPr>
      <w:r w:rsidRPr="00952104">
        <w:rPr>
          <w:rFonts w:ascii="Source Sans Pro" w:hAnsi="Source Sans Pro"/>
          <w:sz w:val="24"/>
          <w:szCs w:val="24"/>
        </w:rPr>
        <w:t>Because this proposal will now include fewer measures for your OASIS-based items, CMS will need to redistribute the weighted percentage for each of the items in the OASIS-based set. An example of this proposal can be found on</w:t>
      </w:r>
      <w:r w:rsidRPr="00952104">
        <w:rPr>
          <w:rFonts w:ascii="Source Sans Pro" w:hAnsi="Source Sans Pro"/>
          <w:color w:val="E29334"/>
          <w:sz w:val="24"/>
          <w:szCs w:val="24"/>
        </w:rPr>
        <w:t xml:space="preserve"> </w:t>
      </w:r>
      <w:hyperlink r:id="rId15" w:history="1">
        <w:r w:rsidRPr="00952104">
          <w:rPr>
            <w:rStyle w:val="Hyperlink"/>
            <w:rFonts w:ascii="Source Sans Pro" w:hAnsi="Source Sans Pro"/>
            <w:color w:val="E29334"/>
            <w:sz w:val="24"/>
            <w:szCs w:val="24"/>
          </w:rPr>
          <w:t>page 200</w:t>
        </w:r>
      </w:hyperlink>
      <w:r w:rsidRPr="00952104">
        <w:rPr>
          <w:rFonts w:ascii="Source Sans Pro" w:hAnsi="Source Sans Pro"/>
          <w:sz w:val="24"/>
          <w:szCs w:val="24"/>
        </w:rPr>
        <w:t xml:space="preserve">. </w:t>
      </w:r>
    </w:p>
    <w:p w14:paraId="06A4231F" w14:textId="77777777" w:rsidR="005E0C22" w:rsidRDefault="005E0C22" w:rsidP="005E0C22">
      <w:pPr>
        <w:rPr>
          <w:rFonts w:ascii="Source Sans Pro" w:hAnsi="Source Sans Pro"/>
          <w:sz w:val="24"/>
          <w:szCs w:val="24"/>
        </w:rPr>
      </w:pPr>
      <w:r w:rsidRPr="00952104">
        <w:rPr>
          <w:rFonts w:ascii="Source Sans Pro" w:hAnsi="Source Sans Pro"/>
          <w:sz w:val="24"/>
          <w:szCs w:val="24"/>
        </w:rPr>
        <w:t>If finalized as is, these changes would begin with the CY 2025 performance year,</w:t>
      </w:r>
      <w:r w:rsidRPr="00952104">
        <w:rPr>
          <w:rFonts w:ascii="Source Sans Pro" w:hAnsi="Source Sans Pro" w:cs="Open Sans"/>
          <w:color w:val="444444"/>
          <w:sz w:val="24"/>
          <w:szCs w:val="24"/>
          <w:shd w:val="clear" w:color="auto" w:fill="FFFFFF"/>
        </w:rPr>
        <w:t xml:space="preserve"> </w:t>
      </w:r>
      <w:r w:rsidRPr="00952104">
        <w:rPr>
          <w:rFonts w:ascii="Source Sans Pro" w:hAnsi="Source Sans Pro"/>
          <w:sz w:val="24"/>
          <w:szCs w:val="24"/>
        </w:rPr>
        <w:t>thus all changes will affect the same payment year beginning with the CY 2027 payment year.</w:t>
      </w:r>
    </w:p>
    <w:p w14:paraId="70CCB1CE" w14:textId="77777777" w:rsidR="0054506A" w:rsidRDefault="0054506A" w:rsidP="005E0C22">
      <w:pPr>
        <w:rPr>
          <w:rFonts w:ascii="Source Sans Pro" w:hAnsi="Source Sans Pro"/>
          <w:sz w:val="24"/>
          <w:szCs w:val="24"/>
        </w:rPr>
      </w:pPr>
    </w:p>
    <w:p w14:paraId="12B8F134" w14:textId="754FCC45" w:rsidR="0061309F" w:rsidRDefault="0061309F" w:rsidP="0061309F">
      <w:pPr>
        <w:rPr>
          <w:b/>
          <w:bCs/>
          <w:sz w:val="36"/>
          <w:szCs w:val="36"/>
        </w:rPr>
      </w:pPr>
      <w:r w:rsidRPr="00DB4063">
        <w:rPr>
          <w:b/>
          <w:bCs/>
          <w:sz w:val="36"/>
          <w:szCs w:val="36"/>
          <w:highlight w:val="cyan"/>
        </w:rPr>
        <w:t>MHCA Medicare Workgroup Comments-</w:t>
      </w:r>
      <w:r w:rsidRPr="0061309F">
        <w:rPr>
          <w:b/>
          <w:bCs/>
          <w:sz w:val="36"/>
          <w:szCs w:val="36"/>
          <w:highlight w:val="cyan"/>
        </w:rPr>
        <w:t>VBP</w:t>
      </w:r>
    </w:p>
    <w:p w14:paraId="230F6C32" w14:textId="25AB9865" w:rsidR="0061309F" w:rsidRDefault="0061309F" w:rsidP="0061309F">
      <w:r>
        <w:t xml:space="preserve">-Agree/disagree with the changes. Other ideas on weighed distribution? </w:t>
      </w:r>
    </w:p>
    <w:p w14:paraId="75B945BB" w14:textId="00CFA1A1" w:rsidR="00ED67D2" w:rsidRDefault="00ED67D2" w:rsidP="0061309F">
      <w:r>
        <w:t>Comments/Concerns with new proposed Discharge Function (DC Function) measure?</w:t>
      </w:r>
    </w:p>
    <w:p w14:paraId="4458D197" w14:textId="53DE0628" w:rsidR="004B4295" w:rsidRDefault="00ED67D2">
      <w:r>
        <w:t>Comments/Concerns with new proposed PPH measure?</w:t>
      </w:r>
      <w:r w:rsidR="006F184B">
        <w:t xml:space="preserve"> </w:t>
      </w:r>
    </w:p>
    <w:p w14:paraId="799F095F" w14:textId="77777777" w:rsidR="006F184B" w:rsidRDefault="006F184B"/>
    <w:p w14:paraId="40BDFA46" w14:textId="64C156B0" w:rsidR="004D2AA4" w:rsidRPr="004B4295" w:rsidRDefault="004D2AA4" w:rsidP="004B4295">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4B4295">
        <w:rPr>
          <w:rFonts w:ascii="Source Sans Pro" w:hAnsi="Source Sans Pro"/>
          <w:b/>
          <w:bCs/>
          <w:color w:val="17C1C1"/>
          <w:sz w:val="32"/>
          <w:szCs w:val="32"/>
        </w:rPr>
        <w:t>Other Provisions:</w:t>
      </w:r>
    </w:p>
    <w:p w14:paraId="22504650" w14:textId="448F18FA"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 xml:space="preserve">Home Intravenous Immune Globulin (IVIG) Benefit </w:t>
      </w:r>
    </w:p>
    <w:p w14:paraId="0D025965" w14:textId="48AA949C" w:rsidR="0061309F" w:rsidRPr="0054506A" w:rsidRDefault="0061309F" w:rsidP="0061309F">
      <w:pPr>
        <w:rPr>
          <w:rFonts w:ascii="Source Sans Pro" w:hAnsi="Source Sans Pro"/>
          <w:sz w:val="24"/>
          <w:szCs w:val="24"/>
        </w:rPr>
      </w:pPr>
      <w:r w:rsidRPr="00952104">
        <w:rPr>
          <w:rFonts w:ascii="Source Sans Pro" w:hAnsi="Source Sans Pro"/>
          <w:sz w:val="24"/>
          <w:szCs w:val="24"/>
        </w:rPr>
        <w:t>CMS is proposing regulations to implement coverage and payment of items and services related to administration of IVIG in a patient’s home for a patient with a diagnosed primary immune deficiency disease (PIDD). Currently, Medicare pays for the IVIG product using the average sales price (ASP) methodology, and the items and services needed for in-home administration of IVIG for the treatment of PIDD are paid under a Medicare demonstration program. This demonstration program will end on December 31, 2023, and the Consolidated Appropriations Act (CAA), 2023 establishes permanent coverage and payment of the items and services needed for in-home administration beginning on January 1, 2024.</w:t>
      </w:r>
    </w:p>
    <w:p w14:paraId="2E2C1EE1"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lastRenderedPageBreak/>
        <w:t>Lymphedema Therapy Benefit</w:t>
      </w:r>
    </w:p>
    <w:p w14:paraId="6DA97780" w14:textId="77777777" w:rsidR="0061309F" w:rsidRPr="00952104" w:rsidRDefault="0061309F" w:rsidP="0061309F">
      <w:pPr>
        <w:rPr>
          <w:rFonts w:ascii="Source Sans Pro" w:hAnsi="Source Sans Pro"/>
          <w:sz w:val="24"/>
          <w:szCs w:val="24"/>
        </w:rPr>
      </w:pPr>
      <w:r w:rsidRPr="00952104">
        <w:rPr>
          <w:rFonts w:ascii="Source Sans Pro" w:hAnsi="Source Sans Pro"/>
          <w:sz w:val="24"/>
          <w:szCs w:val="24"/>
        </w:rPr>
        <w:t>Also in the CAA, 2023 is the addition of coverage under Medicare Part B for lymphedema compression treatment items. Specifically, coverage of standard and custom fitted gradient compression garments and other approved items that are prescribed by a physician or other specified health care professional to treat lymphedema.</w:t>
      </w:r>
    </w:p>
    <w:p w14:paraId="3A514A43" w14:textId="5314136A" w:rsidR="0061309F" w:rsidRPr="0054506A" w:rsidRDefault="0061309F" w:rsidP="0061309F">
      <w:pPr>
        <w:rPr>
          <w:rFonts w:ascii="Source Sans Pro" w:hAnsi="Source Sans Pro"/>
          <w:sz w:val="24"/>
          <w:szCs w:val="24"/>
        </w:rPr>
      </w:pPr>
      <w:r w:rsidRPr="00952104">
        <w:rPr>
          <w:rFonts w:ascii="Source Sans Pro" w:hAnsi="Source Sans Pro"/>
          <w:sz w:val="24"/>
          <w:szCs w:val="24"/>
        </w:rPr>
        <w:t>Coverage for Lymphedema therapy items will be provided under the Medicare durable medical equipment benefit, and therefore will not have any negative financial impact for home health agencies since items of DME are excluded from the Medicare home health consolidated billing rules.</w:t>
      </w:r>
    </w:p>
    <w:p w14:paraId="5B9AC128"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Durable Medical Equipment, Prosthetics, Orthotics, and Supplies (DMEPOS) Refill Policy</w:t>
      </w:r>
    </w:p>
    <w:p w14:paraId="5AF10D0C" w14:textId="77777777" w:rsidR="0061309F" w:rsidRDefault="0061309F" w:rsidP="0061309F">
      <w:pPr>
        <w:rPr>
          <w:rFonts w:ascii="Source Sans Pro" w:hAnsi="Source Sans Pro"/>
          <w:sz w:val="24"/>
          <w:szCs w:val="24"/>
        </w:rPr>
      </w:pPr>
      <w:r w:rsidRPr="00952104">
        <w:rPr>
          <w:rFonts w:ascii="Source Sans Pro" w:hAnsi="Source Sans Pro"/>
          <w:sz w:val="24"/>
          <w:szCs w:val="24"/>
        </w:rPr>
        <w:t xml:space="preserve">CMS is proposing to require documentation indicating that the beneficiary confirmed the need for the DMEPOS refill within the 30-day period prior to the end of the current supply. Additionally, they are proposing to codify our requirement that delivery of DMEPOS items (that is, date of service) be no sooner than 10 calendar days before the expected end of the current supply. </w:t>
      </w:r>
    </w:p>
    <w:p w14:paraId="68497AFF" w14:textId="39A83311" w:rsidR="0054506A" w:rsidRDefault="0054506A" w:rsidP="0054506A">
      <w:pPr>
        <w:rPr>
          <w:b/>
          <w:bCs/>
          <w:sz w:val="36"/>
          <w:szCs w:val="36"/>
        </w:rPr>
      </w:pPr>
      <w:r w:rsidRPr="00DB4063">
        <w:rPr>
          <w:b/>
          <w:bCs/>
          <w:sz w:val="36"/>
          <w:szCs w:val="36"/>
          <w:highlight w:val="cyan"/>
        </w:rPr>
        <w:t xml:space="preserve">MHCA Medicare Workgroup </w:t>
      </w:r>
      <w:r w:rsidRPr="0054506A">
        <w:rPr>
          <w:b/>
          <w:bCs/>
          <w:sz w:val="36"/>
          <w:szCs w:val="36"/>
          <w:highlight w:val="cyan"/>
        </w:rPr>
        <w:t>Comments-Other Items</w:t>
      </w:r>
    </w:p>
    <w:p w14:paraId="75579B4C" w14:textId="5FBAACB6" w:rsidR="0054506A" w:rsidRDefault="0054506A" w:rsidP="0054506A">
      <w:r>
        <w:t xml:space="preserve">If </w:t>
      </w:r>
      <w:r w:rsidR="006F184B">
        <w:t>an area</w:t>
      </w:r>
      <w:r>
        <w:t xml:space="preserve"> impacts your agency/you have working knowledge around these items, do you agree/disagree with the following proposals and why</w:t>
      </w:r>
      <w:r w:rsidR="006F184B">
        <w:t>?</w:t>
      </w:r>
    </w:p>
    <w:p w14:paraId="73A75062" w14:textId="2B664AD3" w:rsidR="004D2AA4" w:rsidRDefault="0054506A" w:rsidP="004D2AA4">
      <w:r>
        <w:t xml:space="preserve">IVIG benefit </w:t>
      </w:r>
    </w:p>
    <w:p w14:paraId="4D899C98" w14:textId="77777777" w:rsidR="004D2AA4" w:rsidRPr="004D2AA4" w:rsidRDefault="004D2AA4" w:rsidP="004D2AA4">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6BD7A881" w14:textId="74C3B89C" w:rsidR="0054506A" w:rsidRDefault="0054506A" w:rsidP="0054506A"/>
    <w:p w14:paraId="39FEA731" w14:textId="4CBAB66D" w:rsidR="0054506A" w:rsidRDefault="0054506A" w:rsidP="0054506A">
      <w:r>
        <w:t>Lymphedema benefit</w:t>
      </w:r>
    </w:p>
    <w:p w14:paraId="0B45777F"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5A9B1A1C" w14:textId="77777777" w:rsidR="004B4295" w:rsidRDefault="004B4295" w:rsidP="0054506A"/>
    <w:p w14:paraId="724CD61A" w14:textId="425ABEB7" w:rsidR="0054506A" w:rsidRDefault="0054506A" w:rsidP="0054506A">
      <w:r>
        <w:t xml:space="preserve">DMEPOS benefit </w:t>
      </w:r>
    </w:p>
    <w:p w14:paraId="78F5C473"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A2E300B" w14:textId="77777777" w:rsidR="004B4295" w:rsidRDefault="004B4295" w:rsidP="0054506A"/>
    <w:p w14:paraId="659696D6" w14:textId="08D1B9FC" w:rsidR="0054506A" w:rsidRDefault="0054506A" w:rsidP="0054506A">
      <w:proofErr w:type="spellStart"/>
      <w:r>
        <w:t>dNPWT</w:t>
      </w:r>
      <w:proofErr w:type="spellEnd"/>
      <w:r>
        <w:t xml:space="preserve"> </w:t>
      </w:r>
    </w:p>
    <w:p w14:paraId="5499718D"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B9E3441" w14:textId="77777777" w:rsidR="006F184B" w:rsidRDefault="006F184B" w:rsidP="006F184B">
      <w:pPr>
        <w:rPr>
          <w:rFonts w:ascii="Source Sans Pro" w:hAnsi="Source Sans Pro"/>
          <w:b/>
          <w:bCs/>
          <w:color w:val="17C1C1"/>
          <w:sz w:val="32"/>
          <w:szCs w:val="32"/>
        </w:rPr>
      </w:pPr>
    </w:p>
    <w:p w14:paraId="574AB7BA" w14:textId="3895C9A9" w:rsidR="0054506A" w:rsidRPr="006F184B" w:rsidRDefault="0054506A"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rFonts w:ascii="Source Sans Pro" w:hAnsi="Source Sans Pro"/>
          <w:b/>
          <w:bCs/>
          <w:color w:val="17C1C1"/>
          <w:sz w:val="32"/>
          <w:szCs w:val="32"/>
        </w:rPr>
      </w:pPr>
      <w:r w:rsidRPr="006F184B">
        <w:rPr>
          <w:rFonts w:ascii="Source Sans Pro" w:hAnsi="Source Sans Pro"/>
          <w:b/>
          <w:bCs/>
          <w:color w:val="17C1C1"/>
          <w:sz w:val="32"/>
          <w:szCs w:val="32"/>
        </w:rPr>
        <w:t>Hospice</w:t>
      </w:r>
    </w:p>
    <w:p w14:paraId="7F175BD0" w14:textId="6521A884" w:rsidR="0054506A" w:rsidRDefault="00744B92">
      <w:hyperlink r:id="rId16" w:history="1">
        <w:r w:rsidR="0054506A" w:rsidRPr="0054506A">
          <w:rPr>
            <w:color w:val="0000FF"/>
            <w:u w:val="single"/>
          </w:rPr>
          <w:t>NAHC_Hospice_Specific_Provis.pdf (ymaws.com)</w:t>
        </w:r>
      </w:hyperlink>
    </w:p>
    <w:p w14:paraId="2AAE22F3" w14:textId="2E84E80E" w:rsidR="0054506A" w:rsidRDefault="0054506A">
      <w:r>
        <w:t>For hospice providers wishing to add comments, please review the above attachment and provide feedback wherever possible.</w:t>
      </w:r>
    </w:p>
    <w:p w14:paraId="79E278E3" w14:textId="77777777" w:rsidR="006F184B" w:rsidRPr="004D2AA4" w:rsidRDefault="006F184B" w:rsidP="006F184B">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46D6262F" w14:textId="77777777" w:rsidR="004B4295" w:rsidRDefault="004B4295"/>
    <w:sectPr w:rsidR="004B42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39B0" w14:textId="77777777" w:rsidR="00BE75FE" w:rsidRDefault="00BE75FE" w:rsidP="00BE75FE">
      <w:pPr>
        <w:spacing w:after="0" w:line="240" w:lineRule="auto"/>
      </w:pPr>
      <w:r>
        <w:separator/>
      </w:r>
    </w:p>
  </w:endnote>
  <w:endnote w:type="continuationSeparator" w:id="0">
    <w:p w14:paraId="6372430B" w14:textId="77777777" w:rsidR="00BE75FE" w:rsidRDefault="00BE75FE" w:rsidP="00BE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1C1C" w14:textId="77777777" w:rsidR="00BE75FE" w:rsidRDefault="00BE75FE" w:rsidP="00BE75FE">
      <w:pPr>
        <w:spacing w:after="0" w:line="240" w:lineRule="auto"/>
      </w:pPr>
      <w:r>
        <w:separator/>
      </w:r>
    </w:p>
  </w:footnote>
  <w:footnote w:type="continuationSeparator" w:id="0">
    <w:p w14:paraId="010482A2" w14:textId="77777777" w:rsidR="00BE75FE" w:rsidRDefault="00BE75FE" w:rsidP="00BE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59D" w14:textId="32630480" w:rsidR="00BE75FE" w:rsidRDefault="00BE75FE">
    <w:pPr>
      <w:pStyle w:val="Header"/>
    </w:pPr>
    <w:r>
      <w:t>2024 HH PROPROSED RULE MHCA COMMENT LETTER –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BD1"/>
    <w:multiLevelType w:val="hybridMultilevel"/>
    <w:tmpl w:val="DBA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F19"/>
    <w:multiLevelType w:val="hybridMultilevel"/>
    <w:tmpl w:val="06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37D"/>
    <w:multiLevelType w:val="hybridMultilevel"/>
    <w:tmpl w:val="E8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41E"/>
    <w:multiLevelType w:val="hybridMultilevel"/>
    <w:tmpl w:val="5E3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A379B"/>
    <w:multiLevelType w:val="hybridMultilevel"/>
    <w:tmpl w:val="F2DA3C0C"/>
    <w:lvl w:ilvl="0" w:tplc="A732BE48">
      <w:numFmt w:val="bullet"/>
      <w:lvlText w:val="-"/>
      <w:lvlJc w:val="left"/>
      <w:pPr>
        <w:ind w:left="1080" w:hanging="360"/>
      </w:pPr>
      <w:rPr>
        <w:rFonts w:ascii="Source Sans Pro" w:eastAsiaTheme="minorHAnsi" w:hAnsi="Source Sans Pr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22912"/>
    <w:multiLevelType w:val="hybridMultilevel"/>
    <w:tmpl w:val="42A41FB2"/>
    <w:lvl w:ilvl="0" w:tplc="A732BE48">
      <w:numFmt w:val="bullet"/>
      <w:lvlText w:val="-"/>
      <w:lvlJc w:val="left"/>
      <w:pPr>
        <w:ind w:left="1080" w:hanging="36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0139768">
    <w:abstractNumId w:val="5"/>
  </w:num>
  <w:num w:numId="2" w16cid:durableId="2029721629">
    <w:abstractNumId w:val="4"/>
  </w:num>
  <w:num w:numId="3" w16cid:durableId="1389765315">
    <w:abstractNumId w:val="3"/>
  </w:num>
  <w:num w:numId="4" w16cid:durableId="2136562876">
    <w:abstractNumId w:val="2"/>
  </w:num>
  <w:num w:numId="5" w16cid:durableId="655300508">
    <w:abstractNumId w:val="1"/>
  </w:num>
  <w:num w:numId="6" w16cid:durableId="185565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C3"/>
    <w:rsid w:val="004B4295"/>
    <w:rsid w:val="004D055A"/>
    <w:rsid w:val="004D2AA4"/>
    <w:rsid w:val="0054506A"/>
    <w:rsid w:val="005E0C22"/>
    <w:rsid w:val="0061309F"/>
    <w:rsid w:val="00666C95"/>
    <w:rsid w:val="006F184B"/>
    <w:rsid w:val="00744B92"/>
    <w:rsid w:val="009950C3"/>
    <w:rsid w:val="00BE75FE"/>
    <w:rsid w:val="00DB4063"/>
    <w:rsid w:val="00ED67D2"/>
    <w:rsid w:val="00F3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98D"/>
  <w15:chartTrackingRefBased/>
  <w15:docId w15:val="{6D158401-09C7-4E36-8E1D-FEC0138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C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0C3"/>
    <w:rPr>
      <w:color w:val="0563C1" w:themeColor="hyperlink"/>
      <w:u w:val="single"/>
    </w:rPr>
  </w:style>
  <w:style w:type="paragraph" w:styleId="ListParagraph">
    <w:name w:val="List Paragraph"/>
    <w:basedOn w:val="Normal"/>
    <w:uiPriority w:val="34"/>
    <w:qFormat/>
    <w:rsid w:val="005E0C22"/>
    <w:pPr>
      <w:ind w:left="720"/>
      <w:contextualSpacing/>
    </w:pPr>
  </w:style>
  <w:style w:type="character" w:styleId="UnresolvedMention">
    <w:name w:val="Unresolved Mention"/>
    <w:basedOn w:val="DefaultParagraphFont"/>
    <w:uiPriority w:val="99"/>
    <w:semiHidden/>
    <w:unhideWhenUsed/>
    <w:rsid w:val="0061309F"/>
    <w:rPr>
      <w:color w:val="605E5C"/>
      <w:shd w:val="clear" w:color="auto" w:fill="E1DFDD"/>
    </w:rPr>
  </w:style>
  <w:style w:type="character" w:styleId="FollowedHyperlink">
    <w:name w:val="FollowedHyperlink"/>
    <w:basedOn w:val="DefaultParagraphFont"/>
    <w:uiPriority w:val="99"/>
    <w:semiHidden/>
    <w:unhideWhenUsed/>
    <w:rsid w:val="0061309F"/>
    <w:rPr>
      <w:color w:val="954F72" w:themeColor="followedHyperlink"/>
      <w:u w:val="single"/>
    </w:rPr>
  </w:style>
  <w:style w:type="paragraph" w:styleId="Header">
    <w:name w:val="header"/>
    <w:basedOn w:val="Normal"/>
    <w:link w:val="HeaderChar"/>
    <w:uiPriority w:val="99"/>
    <w:unhideWhenUsed/>
    <w:rsid w:val="00BE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FE"/>
    <w:rPr>
      <w:kern w:val="2"/>
      <w14:ligatures w14:val="standardContextual"/>
    </w:rPr>
  </w:style>
  <w:style w:type="paragraph" w:styleId="Footer">
    <w:name w:val="footer"/>
    <w:basedOn w:val="Normal"/>
    <w:link w:val="FooterChar"/>
    <w:uiPriority w:val="99"/>
    <w:unhideWhenUsed/>
    <w:rsid w:val="00BE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F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hh-discharge-function-score-measure-technical-report.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public-inspection.federalregister.gov/2023-14044.pdf"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ymaws.com/www.mnhomecare.org/resource/resmgr/docs/2023_articles/NAHC_Hospice_Specific_Provis.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hyperlink" Target="https://public-inspection.federalregister.gov/2023-14044.pdf" TargetMode="External"/><Relationship Id="rId10" Type="http://schemas.openxmlformats.org/officeDocument/2006/relationships/hyperlink" Target="https://www.mnhomecare.org/resource/resmgr/cms/MHCA_Proposed_Rule_Comment_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ms.gov/files/document/hh-qrp-specificationspotentiallypreventablehospitalizations.pdf" TargetMode="External"/><Relationship Id="rId22"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15:54:56.873"/>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9" ma:contentTypeDescription="Create a new document." ma:contentTypeScope="" ma:versionID="9cd540d8139e666e8bc6cbf0c74ee9c5">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a75cde44a1f444d8eaf119f28be48ee1"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FA497-D6B8-4373-81DC-8581863EB247}"/>
</file>

<file path=customXml/itemProps2.xml><?xml version="1.0" encoding="utf-8"?>
<ds:datastoreItem xmlns:ds="http://schemas.openxmlformats.org/officeDocument/2006/customXml" ds:itemID="{CB37AEAE-17A6-4227-B3C1-DCE131609C9B}"/>
</file>

<file path=customXml/itemProps3.xml><?xml version="1.0" encoding="utf-8"?>
<ds:datastoreItem xmlns:ds="http://schemas.openxmlformats.org/officeDocument/2006/customXml" ds:itemID="{C1F3CAAC-6CD6-4118-9B93-72A538907CAE}"/>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2</cp:revision>
  <cp:lastPrinted>2023-07-19T18:16:00Z</cp:lastPrinted>
  <dcterms:created xsi:type="dcterms:W3CDTF">2023-07-26T12:28:00Z</dcterms:created>
  <dcterms:modified xsi:type="dcterms:W3CDTF">2023-07-26T12:28:00Z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ies>
</file>