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B60" w:rsidRDefault="0008052F">
      <w:r>
        <w:t>Current information as of 11-20-19</w:t>
      </w:r>
      <w:r w:rsidR="0065249F">
        <w:t xml:space="preserve"> </w:t>
      </w:r>
      <w:r w:rsidR="0065249F" w:rsidRPr="0065249F">
        <w:rPr>
          <w:highlight w:val="yellow"/>
        </w:rPr>
        <w:t>Disclaimer</w:t>
      </w:r>
    </w:p>
    <w:p w:rsidR="006138FF" w:rsidRDefault="006138FF"/>
    <w:p w:rsidR="006138FF" w:rsidRDefault="006138FF">
      <w:r>
        <w:t xml:space="preserve">Billing </w:t>
      </w:r>
      <w:r w:rsidR="00BE241E">
        <w:t>clinical</w:t>
      </w:r>
      <w:r>
        <w:t xml:space="preserve"> regulatory</w:t>
      </w:r>
      <w:r w:rsidR="008F3F47">
        <w:t>-State and Federal</w:t>
      </w:r>
    </w:p>
    <w:tbl>
      <w:tblPr>
        <w:tblStyle w:val="TableGrid"/>
        <w:tblW w:w="0" w:type="auto"/>
        <w:tblLook w:val="04A0" w:firstRow="1" w:lastRow="0" w:firstColumn="1" w:lastColumn="0" w:noHBand="0" w:noVBand="1"/>
      </w:tblPr>
      <w:tblGrid>
        <w:gridCol w:w="1776"/>
        <w:gridCol w:w="1375"/>
        <w:gridCol w:w="3396"/>
        <w:gridCol w:w="1418"/>
        <w:gridCol w:w="6404"/>
      </w:tblGrid>
      <w:tr w:rsidR="00744CFB" w:rsidTr="001009C7">
        <w:tc>
          <w:tcPr>
            <w:tcW w:w="1776" w:type="dxa"/>
          </w:tcPr>
          <w:p w:rsidR="00744CFB" w:rsidRPr="001009C7" w:rsidRDefault="00744CFB" w:rsidP="001009C7">
            <w:pPr>
              <w:jc w:val="center"/>
              <w:rPr>
                <w:b/>
                <w:sz w:val="24"/>
                <w:szCs w:val="24"/>
              </w:rPr>
            </w:pPr>
            <w:r w:rsidRPr="001009C7">
              <w:rPr>
                <w:b/>
                <w:sz w:val="24"/>
                <w:szCs w:val="24"/>
              </w:rPr>
              <w:t>Regulation</w:t>
            </w:r>
          </w:p>
        </w:tc>
        <w:tc>
          <w:tcPr>
            <w:tcW w:w="1375" w:type="dxa"/>
          </w:tcPr>
          <w:p w:rsidR="00744CFB" w:rsidRPr="001009C7" w:rsidRDefault="00744CFB" w:rsidP="001009C7">
            <w:pPr>
              <w:jc w:val="center"/>
              <w:rPr>
                <w:b/>
                <w:sz w:val="24"/>
                <w:szCs w:val="24"/>
              </w:rPr>
            </w:pPr>
            <w:r w:rsidRPr="001009C7">
              <w:rPr>
                <w:b/>
                <w:sz w:val="24"/>
                <w:szCs w:val="24"/>
              </w:rPr>
              <w:t>Effective Date</w:t>
            </w:r>
          </w:p>
        </w:tc>
        <w:tc>
          <w:tcPr>
            <w:tcW w:w="3396" w:type="dxa"/>
          </w:tcPr>
          <w:p w:rsidR="00744CFB" w:rsidRPr="001009C7" w:rsidRDefault="00744CFB" w:rsidP="001009C7">
            <w:pPr>
              <w:jc w:val="center"/>
              <w:rPr>
                <w:b/>
                <w:sz w:val="24"/>
                <w:szCs w:val="24"/>
              </w:rPr>
            </w:pPr>
            <w:r w:rsidRPr="001009C7">
              <w:rPr>
                <w:b/>
                <w:sz w:val="24"/>
                <w:szCs w:val="24"/>
              </w:rPr>
              <w:t>Short Description</w:t>
            </w:r>
          </w:p>
        </w:tc>
        <w:tc>
          <w:tcPr>
            <w:tcW w:w="1291" w:type="dxa"/>
          </w:tcPr>
          <w:p w:rsidR="00744CFB" w:rsidRPr="001009C7" w:rsidRDefault="00744CFB" w:rsidP="001009C7">
            <w:pPr>
              <w:jc w:val="center"/>
              <w:rPr>
                <w:b/>
                <w:sz w:val="24"/>
                <w:szCs w:val="24"/>
              </w:rPr>
            </w:pPr>
            <w:r w:rsidRPr="001009C7">
              <w:rPr>
                <w:b/>
                <w:sz w:val="24"/>
                <w:szCs w:val="24"/>
              </w:rPr>
              <w:t>Responsible</w:t>
            </w:r>
          </w:p>
        </w:tc>
        <w:tc>
          <w:tcPr>
            <w:tcW w:w="6404" w:type="dxa"/>
          </w:tcPr>
          <w:p w:rsidR="00744CFB" w:rsidRPr="001009C7" w:rsidRDefault="00744CFB" w:rsidP="001009C7">
            <w:pPr>
              <w:jc w:val="center"/>
              <w:rPr>
                <w:b/>
                <w:sz w:val="24"/>
                <w:szCs w:val="24"/>
              </w:rPr>
            </w:pPr>
            <w:r w:rsidRPr="001009C7">
              <w:rPr>
                <w:b/>
                <w:sz w:val="24"/>
                <w:szCs w:val="24"/>
              </w:rPr>
              <w:t>Resource Link</w:t>
            </w:r>
          </w:p>
        </w:tc>
      </w:tr>
      <w:tr w:rsidR="00744CFB" w:rsidTr="001009C7">
        <w:tc>
          <w:tcPr>
            <w:tcW w:w="1776" w:type="dxa"/>
          </w:tcPr>
          <w:p w:rsidR="00744CFB" w:rsidRDefault="00744CFB">
            <w:r w:rsidRPr="00484A2C">
              <w:rPr>
                <w:b/>
                <w:sz w:val="32"/>
                <w:szCs w:val="32"/>
              </w:rPr>
              <w:t>Billing</w:t>
            </w:r>
          </w:p>
        </w:tc>
        <w:tc>
          <w:tcPr>
            <w:tcW w:w="1375" w:type="dxa"/>
          </w:tcPr>
          <w:p w:rsidR="00744CFB" w:rsidRDefault="00744CFB"/>
        </w:tc>
        <w:tc>
          <w:tcPr>
            <w:tcW w:w="3396" w:type="dxa"/>
          </w:tcPr>
          <w:p w:rsidR="00744CFB" w:rsidRDefault="00744CFB"/>
        </w:tc>
        <w:tc>
          <w:tcPr>
            <w:tcW w:w="1291" w:type="dxa"/>
          </w:tcPr>
          <w:p w:rsidR="00744CFB" w:rsidRDefault="00744CFB"/>
        </w:tc>
        <w:tc>
          <w:tcPr>
            <w:tcW w:w="6404" w:type="dxa"/>
          </w:tcPr>
          <w:p w:rsidR="00744CFB" w:rsidRDefault="00744CFB"/>
        </w:tc>
      </w:tr>
      <w:tr w:rsidR="00744CFB" w:rsidTr="001009C7">
        <w:tc>
          <w:tcPr>
            <w:tcW w:w="1776" w:type="dxa"/>
          </w:tcPr>
          <w:p w:rsidR="00744CFB" w:rsidRDefault="00744CFB">
            <w:r>
              <w:t>PDGM</w:t>
            </w:r>
          </w:p>
        </w:tc>
        <w:tc>
          <w:tcPr>
            <w:tcW w:w="1375" w:type="dxa"/>
          </w:tcPr>
          <w:p w:rsidR="00744CFB" w:rsidRDefault="00744CFB">
            <w:r>
              <w:t>1-1-20</w:t>
            </w:r>
          </w:p>
        </w:tc>
        <w:tc>
          <w:tcPr>
            <w:tcW w:w="3396" w:type="dxa"/>
          </w:tcPr>
          <w:p w:rsidR="00744CFB" w:rsidRDefault="00744CFB">
            <w:r>
              <w:t>Reference final rule and MHCA PDGM site.</w:t>
            </w:r>
          </w:p>
        </w:tc>
        <w:tc>
          <w:tcPr>
            <w:tcW w:w="1291" w:type="dxa"/>
          </w:tcPr>
          <w:p w:rsidR="00744CFB" w:rsidRDefault="00744CFB">
            <w:r>
              <w:t>Vickie</w:t>
            </w:r>
          </w:p>
        </w:tc>
        <w:tc>
          <w:tcPr>
            <w:tcW w:w="6404" w:type="dxa"/>
          </w:tcPr>
          <w:p w:rsidR="00744CFB" w:rsidRPr="00825C4E" w:rsidRDefault="00744CFB" w:rsidP="00825C4E">
            <w:pPr>
              <w:spacing w:after="160" w:line="259" w:lineRule="auto"/>
              <w:rPr>
                <w:rFonts w:cstheme="minorHAnsi"/>
                <w:sz w:val="20"/>
                <w:szCs w:val="20"/>
              </w:rPr>
            </w:pPr>
            <w:r w:rsidRPr="00825C4E">
              <w:rPr>
                <w:rFonts w:cstheme="minorHAnsi"/>
                <w:sz w:val="20"/>
                <w:szCs w:val="20"/>
              </w:rPr>
              <w:t xml:space="preserve">Link to MHCA PDGM Resources page: </w:t>
            </w:r>
            <w:hyperlink r:id="rId5" w:history="1">
              <w:r w:rsidRPr="00825C4E">
                <w:rPr>
                  <w:rFonts w:cstheme="minorHAnsi"/>
                  <w:color w:val="0563C1" w:themeColor="hyperlink"/>
                  <w:sz w:val="20"/>
                  <w:szCs w:val="20"/>
                  <w:u w:val="single"/>
                </w:rPr>
                <w:t>https://www.mnhomecare.org/page/PDGM</w:t>
              </w:r>
            </w:hyperlink>
            <w:r w:rsidRPr="00825C4E">
              <w:rPr>
                <w:rFonts w:cstheme="minorHAnsi"/>
                <w:sz w:val="20"/>
                <w:szCs w:val="20"/>
              </w:rPr>
              <w:t xml:space="preserve"> </w:t>
            </w:r>
          </w:p>
          <w:p w:rsidR="00744CFB" w:rsidRDefault="00744CFB" w:rsidP="00825C4E">
            <w:r w:rsidRPr="00825C4E">
              <w:rPr>
                <w:rFonts w:cstheme="minorHAnsi"/>
                <w:sz w:val="20"/>
                <w:szCs w:val="20"/>
                <w:highlight w:val="yellow"/>
              </w:rPr>
              <w:t>Link to Final Rule (I’m not certain this is the best link … it’s to a PDF):</w:t>
            </w:r>
            <w:r w:rsidRPr="00825C4E">
              <w:rPr>
                <w:rFonts w:cstheme="minorHAnsi"/>
                <w:sz w:val="20"/>
                <w:szCs w:val="20"/>
              </w:rPr>
              <w:t xml:space="preserve"> </w:t>
            </w:r>
            <w:hyperlink r:id="rId6" w:history="1">
              <w:r w:rsidRPr="00825C4E">
                <w:rPr>
                  <w:rFonts w:cstheme="minorHAnsi"/>
                  <w:color w:val="0563C1" w:themeColor="hyperlink"/>
                  <w:sz w:val="20"/>
                  <w:szCs w:val="20"/>
                  <w:u w:val="single"/>
                </w:rPr>
                <w:t>https://www.govinfo.gov/content/pkg/FR-2019-11-08/pdf/2019-24026.pdf</w:t>
              </w:r>
            </w:hyperlink>
          </w:p>
        </w:tc>
      </w:tr>
      <w:tr w:rsidR="00744CFB" w:rsidTr="001009C7">
        <w:tc>
          <w:tcPr>
            <w:tcW w:w="1776" w:type="dxa"/>
          </w:tcPr>
          <w:p w:rsidR="00744CFB" w:rsidRDefault="00744CFB">
            <w:r>
              <w:t>Pended Authorization Request Response Time Changed</w:t>
            </w:r>
          </w:p>
        </w:tc>
        <w:tc>
          <w:tcPr>
            <w:tcW w:w="1375" w:type="dxa"/>
          </w:tcPr>
          <w:p w:rsidR="00744CFB" w:rsidRDefault="00744CFB"/>
        </w:tc>
        <w:tc>
          <w:tcPr>
            <w:tcW w:w="3396" w:type="dxa"/>
          </w:tcPr>
          <w:p w:rsidR="00744CFB" w:rsidRDefault="00744CFB"/>
        </w:tc>
        <w:tc>
          <w:tcPr>
            <w:tcW w:w="1291" w:type="dxa"/>
          </w:tcPr>
          <w:p w:rsidR="00744CFB" w:rsidRDefault="00744CFB">
            <w:r>
              <w:t>Vickie</w:t>
            </w:r>
          </w:p>
        </w:tc>
        <w:tc>
          <w:tcPr>
            <w:tcW w:w="6404" w:type="dxa"/>
          </w:tcPr>
          <w:p w:rsidR="00744CFB" w:rsidRDefault="006035D6" w:rsidP="0065249F">
            <w:pPr>
              <w:spacing w:after="160" w:line="259" w:lineRule="auto"/>
            </w:pPr>
            <w:hyperlink r:id="rId7" w:anchor="7" w:history="1">
              <w:r w:rsidR="00744CFB" w:rsidRPr="0065249F">
                <w:rPr>
                  <w:color w:val="0563C1" w:themeColor="hyperlink"/>
                  <w:u w:val="single"/>
                </w:rPr>
                <w:t>https://mn.gov/dhs/partners-and-providers/news-initiatives-reports-workgroups/minnesota-health-care-programs/provider-news/#7</w:t>
              </w:r>
            </w:hyperlink>
          </w:p>
        </w:tc>
      </w:tr>
      <w:tr w:rsidR="00744CFB" w:rsidTr="001009C7">
        <w:tc>
          <w:tcPr>
            <w:tcW w:w="1776" w:type="dxa"/>
          </w:tcPr>
          <w:p w:rsidR="00744CFB" w:rsidRDefault="00744CFB">
            <w:r>
              <w:t>MBI</w:t>
            </w:r>
          </w:p>
        </w:tc>
        <w:tc>
          <w:tcPr>
            <w:tcW w:w="1375" w:type="dxa"/>
          </w:tcPr>
          <w:p w:rsidR="00744CFB" w:rsidRDefault="00744CFB"/>
        </w:tc>
        <w:tc>
          <w:tcPr>
            <w:tcW w:w="3396" w:type="dxa"/>
          </w:tcPr>
          <w:p w:rsidR="00744CFB" w:rsidRDefault="00744CFB"/>
        </w:tc>
        <w:tc>
          <w:tcPr>
            <w:tcW w:w="1291" w:type="dxa"/>
          </w:tcPr>
          <w:p w:rsidR="00744CFB" w:rsidRDefault="00744CFB">
            <w:r>
              <w:t>Vickie</w:t>
            </w:r>
          </w:p>
        </w:tc>
        <w:tc>
          <w:tcPr>
            <w:tcW w:w="6404" w:type="dxa"/>
          </w:tcPr>
          <w:p w:rsidR="00744CFB" w:rsidRDefault="00744CFB">
            <w:r w:rsidRPr="00825C4E">
              <w:rPr>
                <w:rFonts w:cstheme="minorHAnsi"/>
                <w:sz w:val="20"/>
                <w:szCs w:val="20"/>
                <w:highlight w:val="yellow"/>
              </w:rPr>
              <w:t>CMS newsletter on MBI:</w:t>
            </w:r>
            <w:r>
              <w:rPr>
                <w:rFonts w:cstheme="minorHAnsi"/>
                <w:sz w:val="20"/>
                <w:szCs w:val="20"/>
              </w:rPr>
              <w:t xml:space="preserve"> </w:t>
            </w:r>
            <w:hyperlink r:id="rId8" w:history="1">
              <w:r w:rsidRPr="00606717">
                <w:rPr>
                  <w:rStyle w:val="Hyperlink"/>
                  <w:rFonts w:cstheme="minorHAnsi"/>
                  <w:sz w:val="20"/>
                  <w:szCs w:val="20"/>
                </w:rPr>
                <w:t>https://www.cms.gov/Outreach-and-Education/Medicare-Learning-Network-MLN/MLNMattersArticles/downloads/SE18006.pdf</w:t>
              </w:r>
            </w:hyperlink>
          </w:p>
        </w:tc>
      </w:tr>
      <w:tr w:rsidR="00744CFB" w:rsidTr="001009C7">
        <w:tc>
          <w:tcPr>
            <w:tcW w:w="1776" w:type="dxa"/>
          </w:tcPr>
          <w:p w:rsidR="00744CFB" w:rsidRDefault="00744CFB">
            <w:r w:rsidRPr="006E6380">
              <w:t xml:space="preserve">Changes to authorization for MMIS RN/LPN </w:t>
            </w:r>
            <w:r w:rsidRPr="006E6380">
              <w:rPr>
                <w:sz w:val="16"/>
                <w:szCs w:val="16"/>
              </w:rPr>
              <w:t>(Medicaid management information system)</w:t>
            </w:r>
          </w:p>
        </w:tc>
        <w:tc>
          <w:tcPr>
            <w:tcW w:w="1375" w:type="dxa"/>
          </w:tcPr>
          <w:p w:rsidR="00744CFB" w:rsidRDefault="00744CFB"/>
        </w:tc>
        <w:tc>
          <w:tcPr>
            <w:tcW w:w="3396" w:type="dxa"/>
          </w:tcPr>
          <w:p w:rsidR="00744CFB" w:rsidRPr="0065249F" w:rsidRDefault="00744CFB" w:rsidP="0065249F">
            <w:pPr>
              <w:numPr>
                <w:ilvl w:val="0"/>
                <w:numId w:val="4"/>
              </w:numPr>
              <w:contextualSpacing/>
              <w:rPr>
                <w:rFonts w:ascii="Times New Roman" w:eastAsia="Times New Roman" w:hAnsi="Times New Roman" w:cs="Times New Roman"/>
                <w:sz w:val="24"/>
                <w:szCs w:val="24"/>
              </w:rPr>
            </w:pPr>
            <w:r w:rsidRPr="0065249F">
              <w:rPr>
                <w:rFonts w:ascii="Times New Roman" w:eastAsia="Times New Roman" w:hAnsi="Times New Roman" w:cs="Times New Roman"/>
                <w:sz w:val="24"/>
                <w:szCs w:val="24"/>
              </w:rPr>
              <w:t>1-1-20 MA, Waivers, ACG</w:t>
            </w:r>
          </w:p>
          <w:p w:rsidR="00744CFB" w:rsidRPr="0065249F" w:rsidRDefault="00744CFB" w:rsidP="0065249F">
            <w:pPr>
              <w:numPr>
                <w:ilvl w:val="0"/>
                <w:numId w:val="4"/>
              </w:numPr>
              <w:contextualSpacing/>
              <w:rPr>
                <w:rFonts w:ascii="Times New Roman" w:eastAsia="Times New Roman" w:hAnsi="Times New Roman" w:cs="Times New Roman"/>
                <w:sz w:val="24"/>
                <w:szCs w:val="24"/>
              </w:rPr>
            </w:pPr>
            <w:r w:rsidRPr="0065249F">
              <w:rPr>
                <w:rFonts w:ascii="Times New Roman" w:eastAsia="Times New Roman" w:hAnsi="Times New Roman" w:cs="Times New Roman"/>
                <w:sz w:val="24"/>
                <w:szCs w:val="24"/>
              </w:rPr>
              <w:t xml:space="preserve">Authorizations/Service agreements will have to separate skilled nursing into RN and LPN codes- </w:t>
            </w:r>
          </w:p>
          <w:p w:rsidR="00744CFB" w:rsidRPr="0065249F" w:rsidRDefault="00744CFB" w:rsidP="0065249F">
            <w:pPr>
              <w:numPr>
                <w:ilvl w:val="0"/>
                <w:numId w:val="4"/>
              </w:numPr>
              <w:contextualSpacing/>
              <w:rPr>
                <w:rFonts w:ascii="Times New Roman" w:eastAsia="Times New Roman" w:hAnsi="Times New Roman" w:cs="Times New Roman"/>
                <w:sz w:val="24"/>
                <w:szCs w:val="24"/>
              </w:rPr>
            </w:pPr>
            <w:r w:rsidRPr="0065249F">
              <w:rPr>
                <w:rFonts w:ascii="Times New Roman" w:eastAsia="Times New Roman" w:hAnsi="Times New Roman" w:cs="Times New Roman"/>
                <w:sz w:val="24"/>
                <w:szCs w:val="24"/>
              </w:rPr>
              <w:t>Case manager involvement in determining how many LPN visits will be needed.</w:t>
            </w:r>
          </w:p>
          <w:p w:rsidR="00744CFB" w:rsidRDefault="00744CFB" w:rsidP="0065249F">
            <w:r w:rsidRPr="0065249F">
              <w:rPr>
                <w:sz w:val="24"/>
                <w:szCs w:val="24"/>
              </w:rPr>
              <w:t>Impact patients who currently receive MMIS if their S/A will span into next year.</w:t>
            </w:r>
          </w:p>
        </w:tc>
        <w:tc>
          <w:tcPr>
            <w:tcW w:w="1291" w:type="dxa"/>
          </w:tcPr>
          <w:p w:rsidR="00744CFB" w:rsidRDefault="00744CFB">
            <w:r>
              <w:t>Vickie</w:t>
            </w:r>
          </w:p>
        </w:tc>
        <w:tc>
          <w:tcPr>
            <w:tcW w:w="6404" w:type="dxa"/>
          </w:tcPr>
          <w:p w:rsidR="00744CFB" w:rsidRDefault="00744CFB"/>
        </w:tc>
      </w:tr>
      <w:tr w:rsidR="00744CFB" w:rsidTr="001009C7">
        <w:tc>
          <w:tcPr>
            <w:tcW w:w="1776" w:type="dxa"/>
          </w:tcPr>
          <w:p w:rsidR="00744CFB" w:rsidRDefault="00744CFB">
            <w:r>
              <w:t>Potential Payor Changes- Medicare Advantage</w:t>
            </w:r>
          </w:p>
        </w:tc>
        <w:tc>
          <w:tcPr>
            <w:tcW w:w="1375" w:type="dxa"/>
          </w:tcPr>
          <w:p w:rsidR="00744CFB" w:rsidRDefault="00744CFB"/>
        </w:tc>
        <w:tc>
          <w:tcPr>
            <w:tcW w:w="3396" w:type="dxa"/>
          </w:tcPr>
          <w:p w:rsidR="00744CFB" w:rsidRDefault="00744CFB">
            <w:r>
              <w:t xml:space="preserve">Reminder- Talk to patients about open enrollment and changes related to open enrollment- Have a plan for verifying </w:t>
            </w:r>
          </w:p>
          <w:p w:rsidR="00744CFB" w:rsidRDefault="00744CFB"/>
          <w:p w:rsidR="00744CFB" w:rsidRPr="00744CFB" w:rsidRDefault="00744CFB" w:rsidP="00744CFB">
            <w:pPr>
              <w:spacing w:after="160" w:line="259" w:lineRule="auto"/>
              <w:rPr>
                <w:rFonts w:cstheme="minorHAnsi"/>
                <w:sz w:val="20"/>
                <w:szCs w:val="20"/>
              </w:rPr>
            </w:pPr>
            <w:r w:rsidRPr="00744CFB">
              <w:rPr>
                <w:rFonts w:cstheme="minorHAnsi"/>
                <w:sz w:val="20"/>
                <w:szCs w:val="20"/>
              </w:rPr>
              <w:lastRenderedPageBreak/>
              <w:t>Reminder to watch for payor changes r/t open enrollment</w:t>
            </w:r>
          </w:p>
          <w:p w:rsidR="00744CFB" w:rsidRDefault="00744CFB" w:rsidP="00744CFB">
            <w:r w:rsidRPr="00744CFB">
              <w:rPr>
                <w:rFonts w:cstheme="minorHAnsi"/>
                <w:sz w:val="20"/>
                <w:szCs w:val="20"/>
              </w:rPr>
              <w:t>Medicare Advantage – individual contracts will vary</w:t>
            </w:r>
          </w:p>
        </w:tc>
        <w:tc>
          <w:tcPr>
            <w:tcW w:w="1291" w:type="dxa"/>
          </w:tcPr>
          <w:p w:rsidR="00744CFB" w:rsidRDefault="00744CFB">
            <w:r>
              <w:lastRenderedPageBreak/>
              <w:t>Vickie</w:t>
            </w:r>
          </w:p>
        </w:tc>
        <w:tc>
          <w:tcPr>
            <w:tcW w:w="6404" w:type="dxa"/>
          </w:tcPr>
          <w:p w:rsidR="00744CFB" w:rsidRDefault="00744CFB" w:rsidP="00744CFB"/>
        </w:tc>
      </w:tr>
      <w:tr w:rsidR="00744CFB" w:rsidTr="001009C7">
        <w:tc>
          <w:tcPr>
            <w:tcW w:w="1776" w:type="dxa"/>
          </w:tcPr>
          <w:p w:rsidR="00744CFB" w:rsidRDefault="00744CFB">
            <w:r>
              <w:t>VA payor changes- Tri West</w:t>
            </w:r>
          </w:p>
        </w:tc>
        <w:tc>
          <w:tcPr>
            <w:tcW w:w="1375" w:type="dxa"/>
          </w:tcPr>
          <w:p w:rsidR="00744CFB" w:rsidRDefault="00744CFB"/>
        </w:tc>
        <w:tc>
          <w:tcPr>
            <w:tcW w:w="3396" w:type="dxa"/>
          </w:tcPr>
          <w:p w:rsidR="00744CFB" w:rsidRDefault="00744CFB"/>
        </w:tc>
        <w:tc>
          <w:tcPr>
            <w:tcW w:w="1291" w:type="dxa"/>
          </w:tcPr>
          <w:p w:rsidR="00744CFB" w:rsidRDefault="00744CFB">
            <w:r>
              <w:t>Karen</w:t>
            </w:r>
          </w:p>
        </w:tc>
        <w:tc>
          <w:tcPr>
            <w:tcW w:w="6404" w:type="dxa"/>
          </w:tcPr>
          <w:p w:rsidR="00744CFB" w:rsidRDefault="00744CFB"/>
        </w:tc>
      </w:tr>
      <w:tr w:rsidR="00744CFB" w:rsidTr="001009C7">
        <w:tc>
          <w:tcPr>
            <w:tcW w:w="1776" w:type="dxa"/>
          </w:tcPr>
          <w:p w:rsidR="00744CFB" w:rsidRDefault="00744CFB">
            <w:r>
              <w:t>Changes with NGS – advanced directives as a condition of payment on POC</w:t>
            </w:r>
          </w:p>
        </w:tc>
        <w:tc>
          <w:tcPr>
            <w:tcW w:w="1375" w:type="dxa"/>
          </w:tcPr>
          <w:p w:rsidR="00744CFB" w:rsidRDefault="00744CFB"/>
        </w:tc>
        <w:tc>
          <w:tcPr>
            <w:tcW w:w="3396" w:type="dxa"/>
          </w:tcPr>
          <w:p w:rsidR="00744CFB" w:rsidRDefault="00744CFB"/>
        </w:tc>
        <w:tc>
          <w:tcPr>
            <w:tcW w:w="1291" w:type="dxa"/>
          </w:tcPr>
          <w:p w:rsidR="00744CFB" w:rsidRDefault="00744CFB">
            <w:r>
              <w:t>Karen</w:t>
            </w:r>
          </w:p>
        </w:tc>
        <w:tc>
          <w:tcPr>
            <w:tcW w:w="6404" w:type="dxa"/>
          </w:tcPr>
          <w:p w:rsidR="00744CFB" w:rsidRDefault="00744CFB" w:rsidP="00744CFB">
            <w:r>
              <w:rPr>
                <w:rFonts w:cstheme="minorHAnsi"/>
                <w:sz w:val="20"/>
                <w:szCs w:val="20"/>
              </w:rPr>
              <w:t xml:space="preserve">NGS: </w:t>
            </w:r>
          </w:p>
        </w:tc>
      </w:tr>
      <w:tr w:rsidR="00744CFB" w:rsidTr="001009C7">
        <w:tc>
          <w:tcPr>
            <w:tcW w:w="1776" w:type="dxa"/>
          </w:tcPr>
          <w:p w:rsidR="00744CFB" w:rsidRDefault="00744CFB" w:rsidP="0008052F">
            <w:r w:rsidRPr="00484A2C">
              <w:rPr>
                <w:b/>
                <w:sz w:val="32"/>
                <w:szCs w:val="32"/>
              </w:rPr>
              <w:t>Clinical</w:t>
            </w:r>
          </w:p>
        </w:tc>
        <w:tc>
          <w:tcPr>
            <w:tcW w:w="1375" w:type="dxa"/>
          </w:tcPr>
          <w:p w:rsidR="00744CFB" w:rsidRDefault="00744CFB" w:rsidP="0008052F"/>
        </w:tc>
        <w:tc>
          <w:tcPr>
            <w:tcW w:w="3396" w:type="dxa"/>
          </w:tcPr>
          <w:p w:rsidR="00744CFB" w:rsidRDefault="00744CFB" w:rsidP="0008052F"/>
        </w:tc>
        <w:tc>
          <w:tcPr>
            <w:tcW w:w="1291" w:type="dxa"/>
          </w:tcPr>
          <w:p w:rsidR="00744CFB" w:rsidRDefault="00744CFB" w:rsidP="0008052F"/>
        </w:tc>
        <w:tc>
          <w:tcPr>
            <w:tcW w:w="6404" w:type="dxa"/>
          </w:tcPr>
          <w:p w:rsidR="00744CFB" w:rsidRDefault="00744CFB" w:rsidP="0008052F"/>
        </w:tc>
      </w:tr>
      <w:tr w:rsidR="00744CFB" w:rsidTr="001009C7">
        <w:tc>
          <w:tcPr>
            <w:tcW w:w="1776" w:type="dxa"/>
          </w:tcPr>
          <w:p w:rsidR="00744CFB" w:rsidRDefault="00744CFB" w:rsidP="0008052F">
            <w:r>
              <w:t>Discharge Planning</w:t>
            </w:r>
          </w:p>
        </w:tc>
        <w:tc>
          <w:tcPr>
            <w:tcW w:w="1375" w:type="dxa"/>
          </w:tcPr>
          <w:p w:rsidR="00744CFB" w:rsidRDefault="00BF096E" w:rsidP="0008052F">
            <w:r>
              <w:t>11-29-19</w:t>
            </w:r>
          </w:p>
        </w:tc>
        <w:tc>
          <w:tcPr>
            <w:tcW w:w="3396" w:type="dxa"/>
          </w:tcPr>
          <w:p w:rsidR="00744CFB" w:rsidRDefault="00744CFB" w:rsidP="0008052F"/>
        </w:tc>
        <w:tc>
          <w:tcPr>
            <w:tcW w:w="1291" w:type="dxa"/>
          </w:tcPr>
          <w:p w:rsidR="00744CFB" w:rsidRDefault="00744CFB" w:rsidP="0008052F">
            <w:r>
              <w:t>Margaret</w:t>
            </w:r>
          </w:p>
        </w:tc>
        <w:tc>
          <w:tcPr>
            <w:tcW w:w="6404" w:type="dxa"/>
          </w:tcPr>
          <w:p w:rsidR="00744CFB" w:rsidRDefault="00744CFB" w:rsidP="0008052F"/>
        </w:tc>
      </w:tr>
      <w:tr w:rsidR="00744CFB" w:rsidTr="001009C7">
        <w:tc>
          <w:tcPr>
            <w:tcW w:w="1776" w:type="dxa"/>
          </w:tcPr>
          <w:p w:rsidR="00744CFB" w:rsidRDefault="001009C7" w:rsidP="001009C7">
            <w:r>
              <w:t>Maintenance Therapy-</w:t>
            </w:r>
            <w:r w:rsidR="00744CFB">
              <w:t xml:space="preserve"> </w:t>
            </w:r>
            <w:r w:rsidR="000F5602">
              <w:t>changes to therapy assistant’s role</w:t>
            </w:r>
          </w:p>
        </w:tc>
        <w:tc>
          <w:tcPr>
            <w:tcW w:w="1375" w:type="dxa"/>
          </w:tcPr>
          <w:p w:rsidR="00744CFB" w:rsidRDefault="00E2385E" w:rsidP="00484A2C">
            <w:r>
              <w:t>1-1-20</w:t>
            </w:r>
          </w:p>
        </w:tc>
        <w:tc>
          <w:tcPr>
            <w:tcW w:w="3396" w:type="dxa"/>
          </w:tcPr>
          <w:p w:rsidR="00744CFB" w:rsidRDefault="001009C7" w:rsidP="00484A2C">
            <w:r>
              <w:t>Per CMS’s Final Rule, therapy assistants in home care settings will now be allowed to perform maintenance therapy under the Medicare home health benefit. This change will allow for consistency with SNFs, where assistants are currently allowed to perform maintenance therapy.</w:t>
            </w:r>
          </w:p>
        </w:tc>
        <w:tc>
          <w:tcPr>
            <w:tcW w:w="1291" w:type="dxa"/>
          </w:tcPr>
          <w:p w:rsidR="00744CFB" w:rsidRDefault="00744CFB" w:rsidP="00484A2C">
            <w:r>
              <w:t>Sara</w:t>
            </w:r>
          </w:p>
        </w:tc>
        <w:tc>
          <w:tcPr>
            <w:tcW w:w="6404" w:type="dxa"/>
          </w:tcPr>
          <w:p w:rsidR="00744CFB" w:rsidRDefault="006035D6" w:rsidP="00484A2C">
            <w:hyperlink r:id="rId9" w:history="1">
              <w:r w:rsidR="001009C7">
                <w:rPr>
                  <w:rStyle w:val="Hyperlink"/>
                </w:rPr>
                <w:t>https://www.cms.gov/newsroom/fact-sheets/cms-finalizes-calendar-year-2020-payment-and-policy-changes-home-health-agencies-and-calendar-year</w:t>
              </w:r>
            </w:hyperlink>
          </w:p>
        </w:tc>
      </w:tr>
      <w:tr w:rsidR="00744CFB" w:rsidTr="001009C7">
        <w:tc>
          <w:tcPr>
            <w:tcW w:w="1776" w:type="dxa"/>
          </w:tcPr>
          <w:p w:rsidR="00744CFB" w:rsidRDefault="00744CFB" w:rsidP="00484A2C">
            <w:r>
              <w:t>OASIS D1</w:t>
            </w:r>
          </w:p>
        </w:tc>
        <w:tc>
          <w:tcPr>
            <w:tcW w:w="1375" w:type="dxa"/>
          </w:tcPr>
          <w:p w:rsidR="00744CFB" w:rsidRDefault="00E2385E" w:rsidP="00484A2C">
            <w:r>
              <w:t>1-1-20</w:t>
            </w:r>
          </w:p>
        </w:tc>
        <w:tc>
          <w:tcPr>
            <w:tcW w:w="3396" w:type="dxa"/>
          </w:tcPr>
          <w:p w:rsidR="00744CFB" w:rsidRDefault="00EF3AAC" w:rsidP="00484A2C">
            <w:r>
              <w:t>Changes to the OASIS data set are being made 01/01/2020. The new data set is being referred to as OASIS-D1 and are effective for OASIS assessment</w:t>
            </w:r>
            <w:r w:rsidR="00DB4C47">
              <w:t xml:space="preserve"> with a M0090 date of 01/01/2020</w:t>
            </w:r>
            <w:r w:rsidR="006035D6">
              <w:t xml:space="preserve"> or later. </w:t>
            </w:r>
          </w:p>
          <w:p w:rsidR="006035D6" w:rsidRDefault="006035D6" w:rsidP="00484A2C">
            <w:r>
              <w:t xml:space="preserve">At this time, there is no revised version of the OASIS D1 Guidance Manual posted. </w:t>
            </w:r>
          </w:p>
        </w:tc>
        <w:tc>
          <w:tcPr>
            <w:tcW w:w="1291" w:type="dxa"/>
          </w:tcPr>
          <w:p w:rsidR="00744CFB" w:rsidRDefault="00744CFB" w:rsidP="00484A2C">
            <w:r>
              <w:t>Michelle</w:t>
            </w:r>
          </w:p>
        </w:tc>
        <w:tc>
          <w:tcPr>
            <w:tcW w:w="6404" w:type="dxa"/>
          </w:tcPr>
          <w:p w:rsidR="00744CFB" w:rsidRDefault="00EF3AAC" w:rsidP="00484A2C">
            <w:hyperlink r:id="rId10" w:history="1">
              <w:r w:rsidRPr="00EF3AAC">
                <w:rPr>
                  <w:color w:val="0000FF"/>
                  <w:u w:val="single"/>
                </w:rPr>
                <w:t>https://www.cms.gov/Medicare/Quality-Initiatives-Patient-Assessment-</w:t>
              </w:r>
              <w:bookmarkStart w:id="0" w:name="_GoBack"/>
              <w:bookmarkEnd w:id="0"/>
              <w:r w:rsidRPr="00EF3AAC">
                <w:rPr>
                  <w:color w:val="0000FF"/>
                  <w:u w:val="single"/>
                </w:rPr>
                <w:t>Instruments/HomeHealthQualityInits/Downloads/OASIS-D1-Update-Memorandum_Revised_May-2019.pdf</w:t>
              </w:r>
            </w:hyperlink>
          </w:p>
        </w:tc>
      </w:tr>
      <w:tr w:rsidR="00744CFB" w:rsidTr="001009C7">
        <w:tc>
          <w:tcPr>
            <w:tcW w:w="1776" w:type="dxa"/>
          </w:tcPr>
          <w:p w:rsidR="00744CFB" w:rsidRDefault="00744CFB" w:rsidP="00484A2C">
            <w:r>
              <w:t>Infusion Therapy Benefit</w:t>
            </w:r>
          </w:p>
        </w:tc>
        <w:tc>
          <w:tcPr>
            <w:tcW w:w="1375" w:type="dxa"/>
          </w:tcPr>
          <w:p w:rsidR="00744CFB" w:rsidRDefault="00744CFB" w:rsidP="00484A2C"/>
        </w:tc>
        <w:tc>
          <w:tcPr>
            <w:tcW w:w="3396" w:type="dxa"/>
          </w:tcPr>
          <w:p w:rsidR="00744CFB" w:rsidRPr="006035D6" w:rsidRDefault="006035D6" w:rsidP="00484A2C">
            <w:pPr>
              <w:rPr>
                <w:rFonts w:cstheme="minorHAnsi"/>
              </w:rPr>
            </w:pPr>
            <w:r w:rsidRPr="006035D6">
              <w:rPr>
                <w:rFonts w:cstheme="minorHAnsi"/>
                <w:color w:val="000000"/>
                <w:shd w:val="clear" w:color="auto" w:fill="FFFFFF"/>
              </w:rPr>
              <w:t xml:space="preserve"> The final HH PPS policies included in the rule would result in a 1.3 percent increase ($250 million) in payments to HHAs in CY 2020 </w:t>
            </w:r>
            <w:proofErr w:type="gramStart"/>
            <w:r w:rsidRPr="006035D6">
              <w:rPr>
                <w:rFonts w:cstheme="minorHAnsi"/>
                <w:color w:val="000000"/>
                <w:shd w:val="clear" w:color="auto" w:fill="FFFFFF"/>
              </w:rPr>
              <w:t>and also</w:t>
            </w:r>
            <w:proofErr w:type="gramEnd"/>
            <w:r w:rsidRPr="006035D6">
              <w:rPr>
                <w:rFonts w:cstheme="minorHAnsi"/>
                <w:color w:val="000000"/>
                <w:shd w:val="clear" w:color="auto" w:fill="FFFFFF"/>
              </w:rPr>
              <w:t xml:space="preserve"> sets forth routine updates to the home infusion therapy </w:t>
            </w:r>
            <w:r w:rsidRPr="006035D6">
              <w:rPr>
                <w:rFonts w:cstheme="minorHAnsi"/>
                <w:color w:val="000000"/>
                <w:shd w:val="clear" w:color="auto" w:fill="FFFFFF"/>
              </w:rPr>
              <w:lastRenderedPageBreak/>
              <w:t>payment rates for CY 2020 and finalizes payment provisions for home infusion therapy services for CY 2021 and subsequent years.</w:t>
            </w:r>
          </w:p>
        </w:tc>
        <w:tc>
          <w:tcPr>
            <w:tcW w:w="1291" w:type="dxa"/>
          </w:tcPr>
          <w:p w:rsidR="00744CFB" w:rsidRDefault="00DB23B4" w:rsidP="00484A2C">
            <w:r>
              <w:lastRenderedPageBreak/>
              <w:t>Michelle</w:t>
            </w:r>
          </w:p>
        </w:tc>
        <w:tc>
          <w:tcPr>
            <w:tcW w:w="6404" w:type="dxa"/>
          </w:tcPr>
          <w:p w:rsidR="00744CFB" w:rsidRDefault="00EF3AAC" w:rsidP="00484A2C">
            <w:hyperlink r:id="rId11" w:history="1">
              <w:r w:rsidRPr="00EF3AAC">
                <w:rPr>
                  <w:color w:val="0000FF"/>
                  <w:u w:val="single"/>
                </w:rPr>
                <w:t>https://www.cms.gov/Medicare/Medicare-Fee-for-Service-Payment/Home-Infusion-Therapy/Overview</w:t>
              </w:r>
            </w:hyperlink>
          </w:p>
          <w:p w:rsidR="00EF3AAC" w:rsidRDefault="00EF3AAC" w:rsidP="00484A2C">
            <w:hyperlink r:id="rId12" w:history="1">
              <w:r w:rsidRPr="00EF3AAC">
                <w:rPr>
                  <w:color w:val="0000FF"/>
                  <w:u w:val="single"/>
                </w:rPr>
                <w:t>https://www.cms.gov/Medicare/Medicare-Fee-for-Service-Payment/HomeHealthPPS/Home-Health-Prospective-Payment-System-Regulations-and-Notices-Items/CMS-1711-FC</w:t>
              </w:r>
            </w:hyperlink>
          </w:p>
        </w:tc>
      </w:tr>
      <w:tr w:rsidR="00744CFB" w:rsidTr="001009C7">
        <w:tc>
          <w:tcPr>
            <w:tcW w:w="1776" w:type="dxa"/>
          </w:tcPr>
          <w:p w:rsidR="00744CFB" w:rsidRDefault="00E2385E" w:rsidP="00484A2C">
            <w:r>
              <w:t>HH QRP Updates</w:t>
            </w:r>
          </w:p>
        </w:tc>
        <w:tc>
          <w:tcPr>
            <w:tcW w:w="1375" w:type="dxa"/>
          </w:tcPr>
          <w:p w:rsidR="00744CFB" w:rsidRDefault="00E2385E" w:rsidP="00484A2C">
            <w:r>
              <w:t>1-1-20</w:t>
            </w:r>
          </w:p>
        </w:tc>
        <w:tc>
          <w:tcPr>
            <w:tcW w:w="3396" w:type="dxa"/>
          </w:tcPr>
          <w:p w:rsidR="00744CFB" w:rsidRDefault="00744CFB" w:rsidP="00484A2C"/>
        </w:tc>
        <w:tc>
          <w:tcPr>
            <w:tcW w:w="1291" w:type="dxa"/>
          </w:tcPr>
          <w:p w:rsidR="00744CFB" w:rsidRDefault="00DB23B4" w:rsidP="00484A2C">
            <w:r>
              <w:t>Jen</w:t>
            </w:r>
          </w:p>
        </w:tc>
        <w:tc>
          <w:tcPr>
            <w:tcW w:w="6404" w:type="dxa"/>
          </w:tcPr>
          <w:p w:rsidR="00744CFB" w:rsidRDefault="00744CFB" w:rsidP="00484A2C"/>
        </w:tc>
      </w:tr>
      <w:tr w:rsidR="00744CFB" w:rsidTr="001009C7">
        <w:tc>
          <w:tcPr>
            <w:tcW w:w="1776" w:type="dxa"/>
          </w:tcPr>
          <w:p w:rsidR="00744CFB" w:rsidRDefault="000F5602" w:rsidP="00484A2C">
            <w:r>
              <w:t>HH Quality Reporting</w:t>
            </w:r>
            <w:r w:rsidR="00744CFB">
              <w:t>- part of final rule</w:t>
            </w:r>
          </w:p>
        </w:tc>
        <w:tc>
          <w:tcPr>
            <w:tcW w:w="1375" w:type="dxa"/>
          </w:tcPr>
          <w:p w:rsidR="00744CFB" w:rsidRDefault="00744CFB" w:rsidP="00484A2C"/>
        </w:tc>
        <w:tc>
          <w:tcPr>
            <w:tcW w:w="3396" w:type="dxa"/>
          </w:tcPr>
          <w:p w:rsidR="00744CFB" w:rsidRDefault="00744CFB" w:rsidP="00484A2C"/>
        </w:tc>
        <w:tc>
          <w:tcPr>
            <w:tcW w:w="1291" w:type="dxa"/>
          </w:tcPr>
          <w:p w:rsidR="00744CFB" w:rsidRDefault="00744CFB" w:rsidP="00484A2C">
            <w:r>
              <w:t>Jen</w:t>
            </w:r>
          </w:p>
        </w:tc>
        <w:tc>
          <w:tcPr>
            <w:tcW w:w="6404" w:type="dxa"/>
          </w:tcPr>
          <w:p w:rsidR="000F5602" w:rsidRDefault="006035D6" w:rsidP="00484A2C">
            <w:hyperlink r:id="rId13" w:history="1">
              <w:r w:rsidR="000F5602" w:rsidRPr="00D22884">
                <w:rPr>
                  <w:rStyle w:val="Hyperlink"/>
                </w:rPr>
                <w:t>https://www.cms.gov/newsroom/fact-sheets/cms-finalizes-calendar-year-2020-payment-and-policy-changes-home-health-agencies-and-calendar-year</w:t>
              </w:r>
            </w:hyperlink>
          </w:p>
        </w:tc>
      </w:tr>
      <w:tr w:rsidR="00744CFB" w:rsidTr="001009C7">
        <w:tc>
          <w:tcPr>
            <w:tcW w:w="1776" w:type="dxa"/>
          </w:tcPr>
          <w:p w:rsidR="00744CFB" w:rsidRDefault="00744CFB" w:rsidP="00484A2C">
            <w:r w:rsidRPr="00484A2C">
              <w:rPr>
                <w:b/>
                <w:sz w:val="32"/>
                <w:szCs w:val="32"/>
              </w:rPr>
              <w:t>Regulatory</w:t>
            </w:r>
          </w:p>
        </w:tc>
        <w:tc>
          <w:tcPr>
            <w:tcW w:w="1375" w:type="dxa"/>
          </w:tcPr>
          <w:p w:rsidR="00744CFB" w:rsidRDefault="00744CFB" w:rsidP="00484A2C"/>
        </w:tc>
        <w:tc>
          <w:tcPr>
            <w:tcW w:w="3396" w:type="dxa"/>
          </w:tcPr>
          <w:p w:rsidR="00744CFB" w:rsidRDefault="00744CFB" w:rsidP="00484A2C"/>
        </w:tc>
        <w:tc>
          <w:tcPr>
            <w:tcW w:w="1291" w:type="dxa"/>
          </w:tcPr>
          <w:p w:rsidR="00744CFB" w:rsidRDefault="00744CFB" w:rsidP="00484A2C"/>
        </w:tc>
        <w:tc>
          <w:tcPr>
            <w:tcW w:w="6404" w:type="dxa"/>
          </w:tcPr>
          <w:p w:rsidR="00744CFB" w:rsidRDefault="00744CFB" w:rsidP="00484A2C"/>
        </w:tc>
      </w:tr>
      <w:tr w:rsidR="00744CFB" w:rsidTr="001009C7">
        <w:tc>
          <w:tcPr>
            <w:tcW w:w="1776" w:type="dxa"/>
          </w:tcPr>
          <w:p w:rsidR="00744CFB" w:rsidRDefault="00744CFB" w:rsidP="00484A2C">
            <w:r>
              <w:t>BOR’s</w:t>
            </w:r>
          </w:p>
        </w:tc>
        <w:tc>
          <w:tcPr>
            <w:tcW w:w="1375" w:type="dxa"/>
          </w:tcPr>
          <w:p w:rsidR="00744CFB" w:rsidRDefault="00744CFB" w:rsidP="00484A2C">
            <w:r>
              <w:t>11-30-19</w:t>
            </w:r>
          </w:p>
        </w:tc>
        <w:tc>
          <w:tcPr>
            <w:tcW w:w="3396" w:type="dxa"/>
          </w:tcPr>
          <w:p w:rsidR="00744CFB" w:rsidRPr="00744CFB" w:rsidRDefault="00744CFB" w:rsidP="00744CFB">
            <w:pPr>
              <w:numPr>
                <w:ilvl w:val="0"/>
                <w:numId w:val="6"/>
              </w:numPr>
              <w:ind w:left="196" w:hanging="180"/>
              <w:contextualSpacing/>
              <w:rPr>
                <w:rFonts w:eastAsia="Times New Roman" w:cstheme="minorHAnsi"/>
                <w:sz w:val="20"/>
                <w:szCs w:val="20"/>
              </w:rPr>
            </w:pPr>
            <w:r w:rsidRPr="00744CFB">
              <w:rPr>
                <w:rFonts w:eastAsia="Times New Roman" w:cstheme="minorHAnsi"/>
                <w:sz w:val="20"/>
                <w:szCs w:val="20"/>
              </w:rPr>
              <w:t>Until 11/30/2019: previous BOR + Amendment for all patients</w:t>
            </w:r>
          </w:p>
          <w:p w:rsidR="00744CFB" w:rsidRPr="00744CFB" w:rsidRDefault="00744CFB" w:rsidP="00744CFB">
            <w:pPr>
              <w:numPr>
                <w:ilvl w:val="0"/>
                <w:numId w:val="6"/>
              </w:numPr>
              <w:ind w:left="196" w:hanging="180"/>
              <w:contextualSpacing/>
              <w:rPr>
                <w:rFonts w:eastAsia="Times New Roman" w:cstheme="minorHAnsi"/>
                <w:sz w:val="20"/>
                <w:szCs w:val="20"/>
              </w:rPr>
            </w:pPr>
            <w:r w:rsidRPr="00744CFB">
              <w:rPr>
                <w:rFonts w:eastAsia="Times New Roman" w:cstheme="minorHAnsi"/>
                <w:sz w:val="20"/>
                <w:szCs w:val="20"/>
              </w:rPr>
              <w:t>Starting 12/1/2019: new BOR required. Surveyors will check for it starting 1/1/2020.</w:t>
            </w:r>
          </w:p>
          <w:p w:rsidR="00744CFB" w:rsidRDefault="00744CFB" w:rsidP="00744CFB">
            <w:r w:rsidRPr="00744CFB">
              <w:rPr>
                <w:rFonts w:cstheme="minorHAnsi"/>
              </w:rPr>
              <w:t>MHCA creating a consolidated version so HHAs only need 1 BOR for all patients – coming ASAP</w:t>
            </w:r>
          </w:p>
        </w:tc>
        <w:tc>
          <w:tcPr>
            <w:tcW w:w="1291" w:type="dxa"/>
          </w:tcPr>
          <w:p w:rsidR="00744CFB" w:rsidRDefault="00744CFB" w:rsidP="00484A2C">
            <w:r>
              <w:t>Karen</w:t>
            </w:r>
          </w:p>
        </w:tc>
        <w:tc>
          <w:tcPr>
            <w:tcW w:w="6404" w:type="dxa"/>
          </w:tcPr>
          <w:p w:rsidR="00744CFB" w:rsidRDefault="006035D6" w:rsidP="00484A2C">
            <w:hyperlink r:id="rId14" w:history="1">
              <w:r w:rsidR="00744CFB" w:rsidRPr="00606717">
                <w:rPr>
                  <w:rStyle w:val="Hyperlink"/>
                  <w:rFonts w:cstheme="minorHAnsi"/>
                  <w:sz w:val="20"/>
                  <w:szCs w:val="20"/>
                </w:rPr>
                <w:t>https://www.health.state.mn.us/facilities/regulation/billofrights/index.html</w:t>
              </w:r>
            </w:hyperlink>
          </w:p>
        </w:tc>
      </w:tr>
      <w:tr w:rsidR="00744CFB" w:rsidTr="001009C7">
        <w:tc>
          <w:tcPr>
            <w:tcW w:w="1776" w:type="dxa"/>
          </w:tcPr>
          <w:p w:rsidR="00744CFB" w:rsidRDefault="00744CFB" w:rsidP="00CE07DC">
            <w:r>
              <w:t>Predatory Offender Reporting</w:t>
            </w:r>
          </w:p>
        </w:tc>
        <w:tc>
          <w:tcPr>
            <w:tcW w:w="1375" w:type="dxa"/>
          </w:tcPr>
          <w:p w:rsidR="00744CFB" w:rsidRDefault="00BF096E" w:rsidP="00CE07DC">
            <w:r>
              <w:t>Crimes committed on/after 8-1-19</w:t>
            </w:r>
          </w:p>
        </w:tc>
        <w:tc>
          <w:tcPr>
            <w:tcW w:w="3396" w:type="dxa"/>
          </w:tcPr>
          <w:p w:rsidR="00BF096E" w:rsidRDefault="00BF096E" w:rsidP="00BF096E">
            <w:pPr>
              <w:spacing w:after="120"/>
              <w:rPr>
                <w:sz w:val="24"/>
                <w:szCs w:val="24"/>
              </w:rPr>
            </w:pPr>
            <w:r>
              <w:rPr>
                <w:sz w:val="24"/>
                <w:szCs w:val="24"/>
              </w:rPr>
              <w:t>Home care provider to be notified of predatory offender status, if risk level assigned, fact sheet to be given to staff providing direct services to person – effective for crimes committed on/after 8/1/2019.</w:t>
            </w:r>
          </w:p>
          <w:p w:rsidR="00744CFB" w:rsidRPr="00BF096E" w:rsidRDefault="00BF096E" w:rsidP="00BF096E">
            <w:pPr>
              <w:spacing w:after="120"/>
              <w:rPr>
                <w:sz w:val="24"/>
                <w:szCs w:val="24"/>
              </w:rPr>
            </w:pPr>
            <w:r>
              <w:rPr>
                <w:sz w:val="24"/>
                <w:szCs w:val="24"/>
              </w:rPr>
              <w:t>Recommend having policy on accepting and providing care for these patients.</w:t>
            </w:r>
          </w:p>
        </w:tc>
        <w:tc>
          <w:tcPr>
            <w:tcW w:w="1291" w:type="dxa"/>
          </w:tcPr>
          <w:p w:rsidR="00744CFB" w:rsidRDefault="00744CFB" w:rsidP="00CE07DC">
            <w:r>
              <w:t>Karen Vickie</w:t>
            </w:r>
          </w:p>
        </w:tc>
        <w:tc>
          <w:tcPr>
            <w:tcW w:w="6404" w:type="dxa"/>
          </w:tcPr>
          <w:p w:rsidR="00744CFB" w:rsidRDefault="00DB23B4" w:rsidP="00CE07DC">
            <w:r>
              <w:t>Karen will get link to MHCA document</w:t>
            </w:r>
          </w:p>
        </w:tc>
      </w:tr>
      <w:tr w:rsidR="00744CFB" w:rsidTr="001009C7">
        <w:tc>
          <w:tcPr>
            <w:tcW w:w="1776" w:type="dxa"/>
          </w:tcPr>
          <w:p w:rsidR="00744CFB" w:rsidRDefault="00744CFB" w:rsidP="00CE07DC">
            <w:proofErr w:type="spellStart"/>
            <w:r>
              <w:t>iQIES</w:t>
            </w:r>
            <w:proofErr w:type="spellEnd"/>
          </w:p>
        </w:tc>
        <w:tc>
          <w:tcPr>
            <w:tcW w:w="1375" w:type="dxa"/>
          </w:tcPr>
          <w:p w:rsidR="00744CFB" w:rsidRDefault="00BF096E" w:rsidP="00CE07DC">
            <w:r>
              <w:t>1-1-20</w:t>
            </w:r>
          </w:p>
          <w:p w:rsidR="00BF096E" w:rsidRDefault="00BF096E" w:rsidP="00CE07DC">
            <w:r>
              <w:rPr>
                <w:sz w:val="24"/>
                <w:szCs w:val="24"/>
              </w:rPr>
              <w:t xml:space="preserve">**Obtain access to </w:t>
            </w:r>
            <w:proofErr w:type="spellStart"/>
            <w:r>
              <w:rPr>
                <w:sz w:val="24"/>
                <w:szCs w:val="24"/>
              </w:rPr>
              <w:t>iQIES</w:t>
            </w:r>
            <w:proofErr w:type="spellEnd"/>
            <w:r>
              <w:rPr>
                <w:sz w:val="24"/>
                <w:szCs w:val="24"/>
              </w:rPr>
              <w:t xml:space="preserve"> prior to 12/23/2019 in order to prevent delay in OASIS </w:t>
            </w:r>
            <w:r>
              <w:rPr>
                <w:sz w:val="24"/>
                <w:szCs w:val="24"/>
              </w:rPr>
              <w:lastRenderedPageBreak/>
              <w:t>submission 1/1/2020</w:t>
            </w:r>
          </w:p>
        </w:tc>
        <w:tc>
          <w:tcPr>
            <w:tcW w:w="3396" w:type="dxa"/>
          </w:tcPr>
          <w:p w:rsidR="00744CFB" w:rsidRDefault="00DB23B4" w:rsidP="00CE07DC">
            <w:r w:rsidRPr="00910E35">
              <w:rPr>
                <w:rFonts w:cstheme="minorHAnsi"/>
                <w:sz w:val="20"/>
                <w:szCs w:val="20"/>
              </w:rPr>
              <w:lastRenderedPageBreak/>
              <w:t xml:space="preserve">The Quality Improvement and Evaluation System is changing to an internet-based system, known as </w:t>
            </w:r>
            <w:proofErr w:type="spellStart"/>
            <w:r w:rsidRPr="00910E35">
              <w:rPr>
                <w:rFonts w:cstheme="minorHAnsi"/>
                <w:sz w:val="20"/>
                <w:szCs w:val="20"/>
              </w:rPr>
              <w:t>iQIES</w:t>
            </w:r>
            <w:proofErr w:type="spellEnd"/>
            <w:r w:rsidRPr="00910E35">
              <w:rPr>
                <w:rFonts w:cstheme="minorHAnsi"/>
                <w:sz w:val="20"/>
                <w:szCs w:val="20"/>
              </w:rPr>
              <w:t>. While the way data is submitted will not change, the site used is new. Certified Home Health Agencies will start using the new site 01/01/2020. To prepare, every agency needs to select one or two employees to register as the Provider Security Official(s), so the onboarding process can begin.</w:t>
            </w:r>
            <w:r w:rsidRPr="00910E35">
              <w:rPr>
                <w:rFonts w:cstheme="minorHAnsi"/>
                <w:color w:val="003E51"/>
                <w:sz w:val="20"/>
                <w:szCs w:val="20"/>
                <w:shd w:val="clear" w:color="auto" w:fill="FFFFFF"/>
              </w:rPr>
              <w:t xml:space="preserve"> </w:t>
            </w:r>
            <w:r>
              <w:rPr>
                <w:rFonts w:cstheme="minorHAnsi"/>
                <w:color w:val="003E51"/>
                <w:sz w:val="20"/>
                <w:szCs w:val="20"/>
                <w:shd w:val="clear" w:color="auto" w:fill="FFFFFF"/>
              </w:rPr>
              <w:t xml:space="preserve"> Tips: PSOs should be </w:t>
            </w:r>
            <w:r>
              <w:rPr>
                <w:rFonts w:cstheme="minorHAnsi"/>
                <w:color w:val="003E51"/>
                <w:sz w:val="20"/>
                <w:szCs w:val="20"/>
                <w:shd w:val="clear" w:color="auto" w:fill="FFFFFF"/>
              </w:rPr>
              <w:lastRenderedPageBreak/>
              <w:t>prepared to provide personal information; it is recommended that you request the form be emailed to you for easier completion (using the online process can result in timing out and having to restart)</w:t>
            </w:r>
          </w:p>
        </w:tc>
        <w:tc>
          <w:tcPr>
            <w:tcW w:w="1291" w:type="dxa"/>
          </w:tcPr>
          <w:p w:rsidR="00744CFB" w:rsidRDefault="00744CFB" w:rsidP="00CE07DC">
            <w:r>
              <w:lastRenderedPageBreak/>
              <w:t>Karen</w:t>
            </w:r>
          </w:p>
        </w:tc>
        <w:tc>
          <w:tcPr>
            <w:tcW w:w="6404" w:type="dxa"/>
          </w:tcPr>
          <w:p w:rsidR="00744CFB" w:rsidRDefault="006035D6" w:rsidP="00CE07DC">
            <w:pPr>
              <w:rPr>
                <w:rStyle w:val="Hyperlink"/>
                <w:rFonts w:cstheme="minorHAnsi"/>
                <w:sz w:val="20"/>
                <w:szCs w:val="20"/>
              </w:rPr>
            </w:pPr>
            <w:hyperlink r:id="rId15" w:history="1">
              <w:r w:rsidR="00DB23B4" w:rsidRPr="00606717">
                <w:rPr>
                  <w:rStyle w:val="Hyperlink"/>
                  <w:rFonts w:cstheme="minorHAnsi"/>
                  <w:sz w:val="20"/>
                  <w:szCs w:val="20"/>
                </w:rPr>
                <w:t>https://qtso.cms.gov/news-and-updates/register-iqies-account-action-required</w:t>
              </w:r>
            </w:hyperlink>
          </w:p>
          <w:p w:rsidR="00DB23B4" w:rsidRDefault="00DB23B4" w:rsidP="00CE07DC"/>
        </w:tc>
      </w:tr>
      <w:tr w:rsidR="00744CFB" w:rsidTr="001009C7">
        <w:tc>
          <w:tcPr>
            <w:tcW w:w="1776" w:type="dxa"/>
            <w:tcBorders>
              <w:bottom w:val="single" w:sz="4" w:space="0" w:color="auto"/>
            </w:tcBorders>
          </w:tcPr>
          <w:p w:rsidR="00744CFB" w:rsidRDefault="00744CFB" w:rsidP="00825C4E">
            <w:r>
              <w:t>“Efficiency” Final Rule</w:t>
            </w:r>
          </w:p>
        </w:tc>
        <w:tc>
          <w:tcPr>
            <w:tcW w:w="1375" w:type="dxa"/>
            <w:tcBorders>
              <w:bottom w:val="single" w:sz="4" w:space="0" w:color="auto"/>
            </w:tcBorders>
          </w:tcPr>
          <w:p w:rsidR="00744CFB" w:rsidRDefault="00744CFB" w:rsidP="00825C4E"/>
        </w:tc>
        <w:tc>
          <w:tcPr>
            <w:tcW w:w="3396" w:type="dxa"/>
            <w:tcBorders>
              <w:bottom w:val="single" w:sz="4" w:space="0" w:color="auto"/>
            </w:tcBorders>
          </w:tcPr>
          <w:p w:rsidR="00744CFB" w:rsidRPr="00A13A74" w:rsidRDefault="00744CFB" w:rsidP="00825C4E">
            <w:pPr>
              <w:pStyle w:val="ListParagraph"/>
              <w:numPr>
                <w:ilvl w:val="0"/>
                <w:numId w:val="1"/>
              </w:numPr>
              <w:contextualSpacing w:val="0"/>
              <w:rPr>
                <w:color w:val="1F497D"/>
                <w:sz w:val="16"/>
                <w:szCs w:val="16"/>
              </w:rPr>
            </w:pPr>
            <w:r w:rsidRPr="00A13A74">
              <w:rPr>
                <w:sz w:val="16"/>
                <w:szCs w:val="16"/>
              </w:rPr>
              <w:t>We are removing the requirements for verbal (meaning spoken) notification of all patient</w:t>
            </w:r>
          </w:p>
          <w:p w:rsidR="00744CFB" w:rsidRPr="00A13A74" w:rsidRDefault="00744CFB" w:rsidP="00825C4E">
            <w:pPr>
              <w:autoSpaceDE w:val="0"/>
              <w:autoSpaceDN w:val="0"/>
              <w:rPr>
                <w:sz w:val="16"/>
                <w:szCs w:val="16"/>
              </w:rPr>
            </w:pPr>
            <w:r w:rsidRPr="00A13A74">
              <w:rPr>
                <w:sz w:val="16"/>
                <w:szCs w:val="16"/>
              </w:rPr>
              <w:t>rights at § 484.50(a)(3), and replacing it with a requirement that verbal notice must be provided</w:t>
            </w:r>
          </w:p>
          <w:p w:rsidR="00744CFB" w:rsidRPr="00A13A74" w:rsidRDefault="00744CFB" w:rsidP="00825C4E">
            <w:pPr>
              <w:autoSpaceDE w:val="0"/>
              <w:autoSpaceDN w:val="0"/>
              <w:rPr>
                <w:sz w:val="16"/>
                <w:szCs w:val="16"/>
              </w:rPr>
            </w:pPr>
            <w:r w:rsidRPr="00A13A74">
              <w:rPr>
                <w:sz w:val="16"/>
                <w:szCs w:val="16"/>
              </w:rPr>
              <w:t>for those rights related to payments made by Medicare, Medicaid, and other federally funded</w:t>
            </w:r>
          </w:p>
          <w:p w:rsidR="00744CFB" w:rsidRPr="00A13A74" w:rsidRDefault="00744CFB" w:rsidP="00825C4E">
            <w:pPr>
              <w:autoSpaceDE w:val="0"/>
              <w:autoSpaceDN w:val="0"/>
              <w:rPr>
                <w:sz w:val="16"/>
                <w:szCs w:val="16"/>
              </w:rPr>
            </w:pPr>
            <w:r w:rsidRPr="00A13A74">
              <w:rPr>
                <w:sz w:val="16"/>
                <w:szCs w:val="16"/>
              </w:rPr>
              <w:t>programs, and potential patient financial liabilities as specified in the Social Security Act.</w:t>
            </w:r>
          </w:p>
          <w:p w:rsidR="00744CFB" w:rsidRPr="00A13A74" w:rsidRDefault="00744CFB" w:rsidP="00825C4E">
            <w:pPr>
              <w:autoSpaceDE w:val="0"/>
              <w:autoSpaceDN w:val="0"/>
              <w:rPr>
                <w:sz w:val="16"/>
                <w:szCs w:val="16"/>
              </w:rPr>
            </w:pPr>
          </w:p>
          <w:p w:rsidR="00744CFB" w:rsidRPr="00A13A74" w:rsidRDefault="00744CFB" w:rsidP="00825C4E">
            <w:pPr>
              <w:pStyle w:val="ListParagraph"/>
              <w:numPr>
                <w:ilvl w:val="0"/>
                <w:numId w:val="1"/>
              </w:numPr>
              <w:autoSpaceDE w:val="0"/>
              <w:autoSpaceDN w:val="0"/>
              <w:contextualSpacing w:val="0"/>
              <w:rPr>
                <w:sz w:val="16"/>
                <w:szCs w:val="16"/>
              </w:rPr>
            </w:pPr>
            <w:r w:rsidRPr="00A13A74">
              <w:rPr>
                <w:sz w:val="16"/>
                <w:szCs w:val="16"/>
              </w:rPr>
              <w:t>We are revising § 484.80(c)(1) to clarify that skill competencies may be assessed by</w:t>
            </w:r>
          </w:p>
          <w:p w:rsidR="00744CFB" w:rsidRPr="00A13A74" w:rsidRDefault="00744CFB" w:rsidP="00825C4E">
            <w:pPr>
              <w:autoSpaceDE w:val="0"/>
              <w:autoSpaceDN w:val="0"/>
              <w:rPr>
                <w:sz w:val="16"/>
                <w:szCs w:val="16"/>
              </w:rPr>
            </w:pPr>
            <w:r w:rsidRPr="00A13A74">
              <w:rPr>
                <w:sz w:val="16"/>
                <w:szCs w:val="16"/>
              </w:rPr>
              <w:t>observing an aide performing the skill with either a patient or a pseudo-patient as part of a</w:t>
            </w:r>
          </w:p>
          <w:p w:rsidR="00744CFB" w:rsidRPr="00A13A74" w:rsidRDefault="00744CFB" w:rsidP="00825C4E">
            <w:pPr>
              <w:autoSpaceDE w:val="0"/>
              <w:autoSpaceDN w:val="0"/>
              <w:rPr>
                <w:sz w:val="16"/>
                <w:szCs w:val="16"/>
              </w:rPr>
            </w:pPr>
            <w:r w:rsidRPr="00A13A74">
              <w:rPr>
                <w:sz w:val="16"/>
                <w:szCs w:val="16"/>
              </w:rPr>
              <w:t>simulation. We are defining the terms “pseudo-patient” and “simulation” in § 484.2.</w:t>
            </w:r>
          </w:p>
          <w:p w:rsidR="00744CFB" w:rsidRPr="00A13A74" w:rsidRDefault="00744CFB" w:rsidP="00825C4E">
            <w:pPr>
              <w:autoSpaceDE w:val="0"/>
              <w:autoSpaceDN w:val="0"/>
              <w:rPr>
                <w:sz w:val="16"/>
                <w:szCs w:val="16"/>
              </w:rPr>
            </w:pPr>
            <w:r w:rsidRPr="00A13A74">
              <w:rPr>
                <w:sz w:val="16"/>
                <w:szCs w:val="16"/>
              </w:rPr>
              <w:t>We are revising the requirement at § 484.80(h) related to completing a full competency</w:t>
            </w:r>
          </w:p>
          <w:p w:rsidR="00744CFB" w:rsidRPr="00A13A74" w:rsidRDefault="00744CFB" w:rsidP="00825C4E">
            <w:pPr>
              <w:autoSpaceDE w:val="0"/>
              <w:autoSpaceDN w:val="0"/>
              <w:rPr>
                <w:sz w:val="16"/>
                <w:szCs w:val="16"/>
              </w:rPr>
            </w:pPr>
            <w:r w:rsidRPr="00A13A74">
              <w:rPr>
                <w:sz w:val="16"/>
                <w:szCs w:val="16"/>
              </w:rPr>
              <w:t>evaluation when an aide is found to be deficient in one or more skills. Instead of completing a</w:t>
            </w:r>
          </w:p>
          <w:p w:rsidR="00744CFB" w:rsidRPr="00A13A74" w:rsidRDefault="00744CFB" w:rsidP="00825C4E">
            <w:pPr>
              <w:autoSpaceDE w:val="0"/>
              <w:autoSpaceDN w:val="0"/>
              <w:rPr>
                <w:sz w:val="16"/>
                <w:szCs w:val="16"/>
              </w:rPr>
            </w:pPr>
            <w:r w:rsidRPr="00A13A74">
              <w:rPr>
                <w:sz w:val="16"/>
                <w:szCs w:val="16"/>
              </w:rPr>
              <w:t>full competency evaluation, an aide would only be required to complete retraining and a</w:t>
            </w:r>
          </w:p>
          <w:p w:rsidR="00744CFB" w:rsidRDefault="00744CFB" w:rsidP="00825C4E">
            <w:pPr>
              <w:autoSpaceDE w:val="0"/>
              <w:autoSpaceDN w:val="0"/>
              <w:rPr>
                <w:sz w:val="16"/>
                <w:szCs w:val="16"/>
              </w:rPr>
            </w:pPr>
            <w:r w:rsidRPr="00A13A74">
              <w:rPr>
                <w:sz w:val="16"/>
                <w:szCs w:val="16"/>
              </w:rPr>
              <w:t>competency evaluation directly related to the deficient skills.</w:t>
            </w:r>
          </w:p>
          <w:p w:rsidR="00744CFB" w:rsidRDefault="00744CFB" w:rsidP="00825C4E">
            <w:pPr>
              <w:autoSpaceDE w:val="0"/>
              <w:autoSpaceDN w:val="0"/>
              <w:rPr>
                <w:sz w:val="16"/>
                <w:szCs w:val="16"/>
              </w:rPr>
            </w:pPr>
          </w:p>
          <w:p w:rsidR="00744CFB" w:rsidRPr="001B2681" w:rsidRDefault="00744CFB" w:rsidP="00825C4E">
            <w:pPr>
              <w:pStyle w:val="Default"/>
              <w:rPr>
                <w:sz w:val="18"/>
                <w:szCs w:val="18"/>
              </w:rPr>
            </w:pPr>
            <w:r w:rsidRPr="001B2681">
              <w:rPr>
                <w:sz w:val="18"/>
                <w:szCs w:val="18"/>
              </w:rPr>
              <w:t>Finalized Emergency Preparedness provisions</w:t>
            </w:r>
          </w:p>
          <w:p w:rsidR="00744CFB" w:rsidRPr="001B2681" w:rsidRDefault="00744CFB" w:rsidP="00825C4E">
            <w:pPr>
              <w:pStyle w:val="Default"/>
              <w:rPr>
                <w:sz w:val="18"/>
                <w:szCs w:val="18"/>
              </w:rPr>
            </w:pPr>
            <w:r w:rsidRPr="001B2681">
              <w:rPr>
                <w:sz w:val="18"/>
                <w:szCs w:val="18"/>
              </w:rPr>
              <w:t>Move annual review and training of programs to every 2 years</w:t>
            </w:r>
          </w:p>
          <w:p w:rsidR="00744CFB" w:rsidRPr="001B2681" w:rsidRDefault="00744CFB" w:rsidP="00825C4E">
            <w:pPr>
              <w:pStyle w:val="Default"/>
              <w:rPr>
                <w:sz w:val="18"/>
                <w:szCs w:val="18"/>
              </w:rPr>
            </w:pPr>
            <w:r w:rsidRPr="001B2681">
              <w:rPr>
                <w:sz w:val="18"/>
                <w:szCs w:val="18"/>
              </w:rPr>
              <w:t>Move to only 1 emergency test per year with alternating size of test</w:t>
            </w:r>
          </w:p>
          <w:p w:rsidR="00744CFB" w:rsidRPr="001B2681" w:rsidRDefault="00744CFB" w:rsidP="00825C4E">
            <w:pPr>
              <w:pStyle w:val="ListParagraph"/>
              <w:numPr>
                <w:ilvl w:val="0"/>
                <w:numId w:val="5"/>
              </w:numPr>
              <w:autoSpaceDE w:val="0"/>
              <w:autoSpaceDN w:val="0"/>
              <w:rPr>
                <w:rFonts w:ascii="Calibri" w:hAnsi="Calibri"/>
                <w:color w:val="1F497D"/>
                <w:sz w:val="18"/>
                <w:szCs w:val="18"/>
              </w:rPr>
            </w:pPr>
            <w:r w:rsidRPr="001B2681">
              <w:rPr>
                <w:sz w:val="18"/>
                <w:szCs w:val="18"/>
              </w:rPr>
              <w:t>Inpatient hospice facilities are still required to conduct two tests per year</w:t>
            </w:r>
          </w:p>
          <w:p w:rsidR="00744CFB" w:rsidRPr="00A13A74" w:rsidRDefault="00744CFB" w:rsidP="00825C4E">
            <w:pPr>
              <w:rPr>
                <w:sz w:val="16"/>
                <w:szCs w:val="16"/>
              </w:rPr>
            </w:pPr>
          </w:p>
        </w:tc>
        <w:tc>
          <w:tcPr>
            <w:tcW w:w="1291" w:type="dxa"/>
            <w:tcBorders>
              <w:bottom w:val="single" w:sz="4" w:space="0" w:color="auto"/>
            </w:tcBorders>
          </w:tcPr>
          <w:p w:rsidR="00744CFB" w:rsidRDefault="00DB23B4" w:rsidP="00825C4E">
            <w:r>
              <w:t>Jen (and Kay)</w:t>
            </w:r>
          </w:p>
        </w:tc>
        <w:tc>
          <w:tcPr>
            <w:tcW w:w="6404" w:type="dxa"/>
            <w:tcBorders>
              <w:bottom w:val="single" w:sz="4" w:space="0" w:color="auto"/>
            </w:tcBorders>
          </w:tcPr>
          <w:p w:rsidR="00744CFB" w:rsidRDefault="006035D6" w:rsidP="00825C4E">
            <w:hyperlink r:id="rId16" w:history="1">
              <w:r w:rsidR="00744CFB" w:rsidRPr="00FD7AB2">
                <w:rPr>
                  <w:rStyle w:val="Hyperlink"/>
                </w:rPr>
                <w:t>https://s3.amazonaws.com/public-inspection.federalregister.gov/2019-20736.pdf</w:t>
              </w:r>
            </w:hyperlink>
          </w:p>
          <w:p w:rsidR="00744CFB" w:rsidRDefault="00744CFB" w:rsidP="00825C4E"/>
        </w:tc>
      </w:tr>
      <w:tr w:rsidR="00744CFB" w:rsidTr="001009C7">
        <w:tc>
          <w:tcPr>
            <w:tcW w:w="1776" w:type="dxa"/>
            <w:tcBorders>
              <w:top w:val="single" w:sz="4" w:space="0" w:color="auto"/>
              <w:left w:val="single" w:sz="4" w:space="0" w:color="auto"/>
              <w:bottom w:val="single" w:sz="4" w:space="0" w:color="auto"/>
              <w:right w:val="single" w:sz="4" w:space="0" w:color="auto"/>
            </w:tcBorders>
          </w:tcPr>
          <w:p w:rsidR="00744CFB" w:rsidRDefault="00DB23B4" w:rsidP="00825C4E">
            <w:r>
              <w:t>Electronic Visit Verification (EVV)</w:t>
            </w:r>
          </w:p>
        </w:tc>
        <w:tc>
          <w:tcPr>
            <w:tcW w:w="1375" w:type="dxa"/>
            <w:tcBorders>
              <w:top w:val="single" w:sz="4" w:space="0" w:color="auto"/>
              <w:left w:val="single" w:sz="4" w:space="0" w:color="auto"/>
              <w:bottom w:val="single" w:sz="4" w:space="0" w:color="auto"/>
              <w:right w:val="single" w:sz="4" w:space="0" w:color="auto"/>
            </w:tcBorders>
          </w:tcPr>
          <w:p w:rsidR="00744CFB" w:rsidRDefault="00BF096E" w:rsidP="00825C4E">
            <w:r>
              <w:t>1-1-23</w:t>
            </w:r>
          </w:p>
        </w:tc>
        <w:tc>
          <w:tcPr>
            <w:tcW w:w="3396" w:type="dxa"/>
            <w:tcBorders>
              <w:top w:val="single" w:sz="4" w:space="0" w:color="auto"/>
              <w:left w:val="single" w:sz="4" w:space="0" w:color="auto"/>
              <w:bottom w:val="single" w:sz="4" w:space="0" w:color="auto"/>
              <w:right w:val="single" w:sz="4" w:space="0" w:color="auto"/>
            </w:tcBorders>
          </w:tcPr>
          <w:p w:rsidR="00744CFB" w:rsidRDefault="00744CFB" w:rsidP="00825C4E"/>
        </w:tc>
        <w:tc>
          <w:tcPr>
            <w:tcW w:w="1291" w:type="dxa"/>
            <w:tcBorders>
              <w:top w:val="single" w:sz="4" w:space="0" w:color="auto"/>
              <w:left w:val="single" w:sz="4" w:space="0" w:color="auto"/>
              <w:bottom w:val="single" w:sz="4" w:space="0" w:color="auto"/>
              <w:right w:val="single" w:sz="4" w:space="0" w:color="auto"/>
            </w:tcBorders>
          </w:tcPr>
          <w:p w:rsidR="00744CFB" w:rsidRDefault="00DB23B4" w:rsidP="00825C4E">
            <w:r>
              <w:t>Jen</w:t>
            </w:r>
          </w:p>
        </w:tc>
        <w:tc>
          <w:tcPr>
            <w:tcW w:w="6404" w:type="dxa"/>
            <w:tcBorders>
              <w:top w:val="single" w:sz="4" w:space="0" w:color="auto"/>
              <w:left w:val="single" w:sz="4" w:space="0" w:color="auto"/>
              <w:bottom w:val="single" w:sz="4" w:space="0" w:color="auto"/>
              <w:right w:val="single" w:sz="4" w:space="0" w:color="auto"/>
            </w:tcBorders>
          </w:tcPr>
          <w:p w:rsidR="00744CFB" w:rsidRDefault="00744CFB" w:rsidP="00825C4E"/>
        </w:tc>
      </w:tr>
    </w:tbl>
    <w:p w:rsidR="0017150F" w:rsidRDefault="0017150F"/>
    <w:p w:rsidR="00F12BBC" w:rsidRPr="00F12BBC" w:rsidRDefault="00F12BBC" w:rsidP="00F12BBC">
      <w:pPr>
        <w:rPr>
          <w:sz w:val="20"/>
          <w:szCs w:val="20"/>
        </w:rPr>
      </w:pPr>
    </w:p>
    <w:sectPr w:rsidR="00F12BBC" w:rsidRPr="00F12BBC" w:rsidSect="001715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0B27080A"/>
    <w:multiLevelType w:val="hybridMultilevel"/>
    <w:tmpl w:val="8F423F80"/>
    <w:lvl w:ilvl="0" w:tplc="04090007">
      <w:start w:val="1"/>
      <w:numFmt w:val="bullet"/>
      <w:lvlText w:val=""/>
      <w:lvlPicBulletId w:val="0"/>
      <w:lvlJc w:val="left"/>
      <w:pPr>
        <w:ind w:left="720" w:hanging="360"/>
      </w:pPr>
      <w:rPr>
        <w:rFonts w:ascii="Symbol" w:hAnsi="Symbol" w:hint="default"/>
      </w:rPr>
    </w:lvl>
    <w:lvl w:ilvl="1" w:tplc="90F0D4B0">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E55326"/>
    <w:multiLevelType w:val="hybridMultilevel"/>
    <w:tmpl w:val="1DA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644F1A"/>
    <w:multiLevelType w:val="hybridMultilevel"/>
    <w:tmpl w:val="1DA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CA3CB2"/>
    <w:multiLevelType w:val="hybridMultilevel"/>
    <w:tmpl w:val="7C9C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827FE"/>
    <w:multiLevelType w:val="hybridMultilevel"/>
    <w:tmpl w:val="8BAA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C646C6"/>
    <w:multiLevelType w:val="hybridMultilevel"/>
    <w:tmpl w:val="1DA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BC"/>
    <w:rsid w:val="0008052F"/>
    <w:rsid w:val="000F5602"/>
    <w:rsid w:val="001009C7"/>
    <w:rsid w:val="00150C5D"/>
    <w:rsid w:val="0017150F"/>
    <w:rsid w:val="001A5D68"/>
    <w:rsid w:val="001B2681"/>
    <w:rsid w:val="00215417"/>
    <w:rsid w:val="00215BBF"/>
    <w:rsid w:val="002A2521"/>
    <w:rsid w:val="00484A2C"/>
    <w:rsid w:val="004D02DC"/>
    <w:rsid w:val="005C25EB"/>
    <w:rsid w:val="005F397E"/>
    <w:rsid w:val="006035D6"/>
    <w:rsid w:val="006138FF"/>
    <w:rsid w:val="0065249F"/>
    <w:rsid w:val="006A25BC"/>
    <w:rsid w:val="006E6380"/>
    <w:rsid w:val="00711A5F"/>
    <w:rsid w:val="00744CFB"/>
    <w:rsid w:val="007E65D6"/>
    <w:rsid w:val="00825C4E"/>
    <w:rsid w:val="008F3F47"/>
    <w:rsid w:val="00A12CC1"/>
    <w:rsid w:val="00A13A74"/>
    <w:rsid w:val="00A714FD"/>
    <w:rsid w:val="00B1299F"/>
    <w:rsid w:val="00BE241E"/>
    <w:rsid w:val="00BF096E"/>
    <w:rsid w:val="00CD4426"/>
    <w:rsid w:val="00CE07DC"/>
    <w:rsid w:val="00CE46BC"/>
    <w:rsid w:val="00DA4BCB"/>
    <w:rsid w:val="00DB23B4"/>
    <w:rsid w:val="00DB4C47"/>
    <w:rsid w:val="00E2385E"/>
    <w:rsid w:val="00EF3AAC"/>
    <w:rsid w:val="00F12BBC"/>
    <w:rsid w:val="00F3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A5C93"/>
  <w15:chartTrackingRefBased/>
  <w15:docId w15:val="{8D2FC494-4A26-4068-AF99-91B69931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BCB"/>
    <w:rPr>
      <w:color w:val="0563C1" w:themeColor="hyperlink"/>
      <w:u w:val="single"/>
    </w:rPr>
  </w:style>
  <w:style w:type="paragraph" w:styleId="ListParagraph">
    <w:name w:val="List Paragraph"/>
    <w:basedOn w:val="Normal"/>
    <w:uiPriority w:val="34"/>
    <w:qFormat/>
    <w:rsid w:val="00A13A74"/>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1B268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138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1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Outreach-and-Education/Medicare-Learning-Network-MLN/MLNMattersArticles/downloads/SE18006.pdf" TargetMode="External"/><Relationship Id="rId13" Type="http://schemas.openxmlformats.org/officeDocument/2006/relationships/hyperlink" Target="https://www.cms.gov/newsroom/fact-sheets/cms-finalizes-calendar-year-2020-payment-and-policy-changes-home-health-agencies-and-calendar-ye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n.gov/dhs/partners-and-providers/news-initiatives-reports-workgroups/minnesota-health-care-programs/provider-news/" TargetMode="External"/><Relationship Id="rId12" Type="http://schemas.openxmlformats.org/officeDocument/2006/relationships/hyperlink" Target="https://www.cms.gov/Medicare/Medicare-Fee-for-Service-Payment/HomeHealthPPS/Home-Health-Prospective-Payment-System-Regulations-and-Notices-Items/CMS-1711-F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3.amazonaws.com/public-inspection.federalregister.gov/2019-20736.pdf" TargetMode="External"/><Relationship Id="rId1" Type="http://schemas.openxmlformats.org/officeDocument/2006/relationships/numbering" Target="numbering.xml"/><Relationship Id="rId6" Type="http://schemas.openxmlformats.org/officeDocument/2006/relationships/hyperlink" Target="https://www.govinfo.gov/content/pkg/FR-2019-11-08/pdf/2019-24026.pdf" TargetMode="External"/><Relationship Id="rId11" Type="http://schemas.openxmlformats.org/officeDocument/2006/relationships/hyperlink" Target="https://www.cms.gov/Medicare/Medicare-Fee-for-Service-Payment/Home-Infusion-Therapy/Overview" TargetMode="External"/><Relationship Id="rId5" Type="http://schemas.openxmlformats.org/officeDocument/2006/relationships/hyperlink" Target="https://www.mnhomecare.org/page/PDGM" TargetMode="External"/><Relationship Id="rId15" Type="http://schemas.openxmlformats.org/officeDocument/2006/relationships/hyperlink" Target="https://qtso.cms.gov/news-and-updates/register-iqies-account-action-required" TargetMode="External"/><Relationship Id="rId10" Type="http://schemas.openxmlformats.org/officeDocument/2006/relationships/hyperlink" Target="https://www.cms.gov/Medicare/Quality-Initiatives-Patient-Assessment-Instruments/HomeHealthQualityInits/Downloads/OASIS-D1-Update-Memorandum_Revised_May-2019.pdf" TargetMode="External"/><Relationship Id="rId4" Type="http://schemas.openxmlformats.org/officeDocument/2006/relationships/webSettings" Target="webSettings.xml"/><Relationship Id="rId9" Type="http://schemas.openxmlformats.org/officeDocument/2006/relationships/hyperlink" Target="https://urldefense.proofpoint.com/v2/url?u=https-3A__www.cms.gov_newsroom_fact-2Dsheets_cms-2Dfinalizes-2Dcalendar-2Dyear-2D2020-2Dpayment-2Dand-2Dpolicy-2Dchanges-2Dhome-2Dhealth-2Dagencies-2Dand-2Dcalendar-2Dyear&amp;d=DwMGaQ&amp;c=e0qWO0MXWFiQgGWE0UmXdQ&amp;r=iJ6_dF3jBruIwonCj8bpSLe_20dGtY5W-uMyIpZ7wso&amp;m=z6M8aU_Q0DCQ3eKvcy4w8r7ijlLPL_98KmYyyr1h7LM&amp;s=kWTBOf_W09MEDFXSl5_wnY40EG6qVeaPaYa0lijxcys&amp;e=" TargetMode="External"/><Relationship Id="rId14" Type="http://schemas.openxmlformats.org/officeDocument/2006/relationships/hyperlink" Target="https://www.health.state.mn.us/facilities/regulation/billofrights/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HealthEast Care Systems</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Vickie</dc:creator>
  <cp:keywords/>
  <dc:description/>
  <cp:lastModifiedBy>Michelle Enger</cp:lastModifiedBy>
  <cp:revision>3</cp:revision>
  <dcterms:created xsi:type="dcterms:W3CDTF">2019-11-22T14:41:00Z</dcterms:created>
  <dcterms:modified xsi:type="dcterms:W3CDTF">2019-11-22T15:03:00Z</dcterms:modified>
</cp:coreProperties>
</file>